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FD14F" w14:textId="77777777" w:rsidR="00F34C73" w:rsidRDefault="00F34C73" w:rsidP="00EC2E6F">
      <w:pPr>
        <w:pStyle w:val="CitaoIntensa"/>
        <w:ind w:left="720"/>
        <w:jc w:val="center"/>
        <w:rPr>
          <w:bCs w:val="0"/>
          <w:i w:val="0"/>
          <w:iCs w:val="0"/>
          <w:color w:val="auto"/>
          <w:lang w:val="pt-BR" w:eastAsia="pt-BR"/>
        </w:rPr>
      </w:pPr>
    </w:p>
    <w:p w14:paraId="1D427D4F" w14:textId="77777777" w:rsidR="00EC2E6F" w:rsidRDefault="00EC2E6F" w:rsidP="00EC2E6F">
      <w:pPr>
        <w:pStyle w:val="CitaoIntensa"/>
        <w:ind w:left="720"/>
        <w:jc w:val="center"/>
        <w:rPr>
          <w:bCs w:val="0"/>
          <w:i w:val="0"/>
          <w:iCs w:val="0"/>
          <w:color w:val="auto"/>
          <w:lang w:val="pt-BR" w:eastAsia="pt-BR"/>
        </w:rPr>
      </w:pPr>
      <w:r w:rsidRPr="009E28C4">
        <w:rPr>
          <w:bCs w:val="0"/>
          <w:i w:val="0"/>
          <w:iCs w:val="0"/>
          <w:color w:val="auto"/>
          <w:lang w:val="pt-BR" w:eastAsia="pt-BR"/>
        </w:rPr>
        <w:t>EXECUÇÃO DE SERVIÇOS</w:t>
      </w:r>
      <w:r>
        <w:rPr>
          <w:bCs w:val="0"/>
          <w:i w:val="0"/>
          <w:iCs w:val="0"/>
          <w:color w:val="auto"/>
          <w:lang w:val="pt-BR" w:eastAsia="pt-BR"/>
        </w:rPr>
        <w:t xml:space="preserve"> TÉCNICOS ESPECIALIZADOS PARA MODERNIZAÇÃO</w:t>
      </w:r>
      <w:r w:rsidRPr="009E28C4">
        <w:rPr>
          <w:bCs w:val="0"/>
          <w:i w:val="0"/>
          <w:iCs w:val="0"/>
          <w:color w:val="auto"/>
          <w:lang w:val="pt-BR" w:eastAsia="pt-BR"/>
        </w:rPr>
        <w:t xml:space="preserve"> </w:t>
      </w:r>
      <w:r>
        <w:rPr>
          <w:bCs w:val="0"/>
          <w:i w:val="0"/>
          <w:iCs w:val="0"/>
          <w:color w:val="auto"/>
          <w:lang w:val="pt-BR" w:eastAsia="pt-BR"/>
        </w:rPr>
        <w:t>DA LEI ESTADUAL 10.350/1994</w:t>
      </w:r>
    </w:p>
    <w:p w14:paraId="1ACE0589" w14:textId="77777777" w:rsidR="00EC2E6F" w:rsidRDefault="00EC2E6F" w:rsidP="00EC2E6F"/>
    <w:p w14:paraId="6CB71755" w14:textId="77777777" w:rsidR="00EC2E6F" w:rsidRPr="00C42FD7" w:rsidRDefault="00EC2E6F" w:rsidP="00EC2E6F"/>
    <w:p w14:paraId="47070B6B" w14:textId="77777777" w:rsidR="00EC2E6F" w:rsidRDefault="00EC2E6F" w:rsidP="00EC2E6F">
      <w:pPr>
        <w:pStyle w:val="CitaoIntensa"/>
        <w:ind w:left="0"/>
        <w:jc w:val="center"/>
        <w:rPr>
          <w:color w:val="auto"/>
          <w:lang w:val="pt-BR"/>
        </w:rPr>
      </w:pPr>
      <w:r>
        <w:rPr>
          <w:color w:val="auto"/>
          <w:lang w:val="pt-BR"/>
        </w:rPr>
        <w:t>1. OBJETO</w:t>
      </w:r>
    </w:p>
    <w:p w14:paraId="744DE54E" w14:textId="77777777" w:rsidR="00EC2E6F" w:rsidRPr="005C66D2" w:rsidRDefault="00EC2E6F" w:rsidP="00EC2E6F">
      <w:pPr>
        <w:pStyle w:val="CitaoIntensa"/>
        <w:ind w:left="0"/>
        <w:jc w:val="both"/>
        <w:rPr>
          <w:b w:val="0"/>
          <w:i w:val="0"/>
          <w:color w:val="auto"/>
          <w:lang w:val="pt-BR"/>
        </w:rPr>
      </w:pPr>
      <w:r>
        <w:rPr>
          <w:b w:val="0"/>
          <w:i w:val="0"/>
          <w:color w:val="auto"/>
          <w:lang w:val="pt-BR"/>
        </w:rPr>
        <w:t>Execução</w:t>
      </w:r>
      <w:r w:rsidRPr="009E28C4">
        <w:rPr>
          <w:b w:val="0"/>
          <w:i w:val="0"/>
          <w:color w:val="auto"/>
        </w:rPr>
        <w:t xml:space="preserve"> de serviços técnicos especializados</w:t>
      </w:r>
      <w:r>
        <w:rPr>
          <w:b w:val="0"/>
          <w:i w:val="0"/>
          <w:color w:val="auto"/>
          <w:lang w:val="pt-BR"/>
        </w:rPr>
        <w:t xml:space="preserve"> em gestão de recursos hídricos</w:t>
      </w:r>
      <w:r w:rsidRPr="009E28C4">
        <w:rPr>
          <w:b w:val="0"/>
          <w:i w:val="0"/>
          <w:color w:val="auto"/>
        </w:rPr>
        <w:t>, com vistas</w:t>
      </w:r>
      <w:r>
        <w:rPr>
          <w:b w:val="0"/>
          <w:i w:val="0"/>
          <w:color w:val="auto"/>
          <w:lang w:val="pt-BR"/>
        </w:rPr>
        <w:t xml:space="preserve"> à</w:t>
      </w:r>
      <w:r>
        <w:rPr>
          <w:b w:val="0"/>
          <w:i w:val="0"/>
          <w:color w:val="auto"/>
        </w:rPr>
        <w:t xml:space="preserve"> </w:t>
      </w:r>
      <w:r w:rsidRPr="009E28C4">
        <w:rPr>
          <w:b w:val="0"/>
          <w:i w:val="0"/>
          <w:color w:val="auto"/>
        </w:rPr>
        <w:t>elabora</w:t>
      </w:r>
      <w:r>
        <w:rPr>
          <w:b w:val="0"/>
          <w:i w:val="0"/>
          <w:color w:val="auto"/>
          <w:lang w:val="pt-BR"/>
        </w:rPr>
        <w:t>ção</w:t>
      </w:r>
      <w:r w:rsidRPr="009E28C4">
        <w:rPr>
          <w:b w:val="0"/>
          <w:i w:val="0"/>
          <w:color w:val="auto"/>
        </w:rPr>
        <w:t xml:space="preserve"> </w:t>
      </w:r>
      <w:r>
        <w:rPr>
          <w:b w:val="0"/>
          <w:i w:val="0"/>
          <w:color w:val="auto"/>
          <w:lang w:val="pt-BR"/>
        </w:rPr>
        <w:t xml:space="preserve">uma minuta de </w:t>
      </w:r>
      <w:r w:rsidRPr="009E28C4">
        <w:rPr>
          <w:b w:val="0"/>
          <w:i w:val="0"/>
          <w:color w:val="auto"/>
        </w:rPr>
        <w:t xml:space="preserve">projeto de lei </w:t>
      </w:r>
      <w:r>
        <w:rPr>
          <w:b w:val="0"/>
          <w:i w:val="0"/>
          <w:color w:val="auto"/>
          <w:lang w:val="pt-BR"/>
        </w:rPr>
        <w:t xml:space="preserve">para a modernização da Lei Estadual de Recursos Hídricos – Lei 10.350/1994. </w:t>
      </w:r>
    </w:p>
    <w:p w14:paraId="6B62CE94" w14:textId="77777777" w:rsidR="00EC2E6F" w:rsidRPr="00257F91" w:rsidRDefault="00EC2E6F" w:rsidP="00EC2E6F">
      <w:pPr>
        <w:autoSpaceDE w:val="0"/>
        <w:autoSpaceDN w:val="0"/>
        <w:adjustRightInd w:val="0"/>
        <w:spacing w:before="120"/>
        <w:jc w:val="both"/>
        <w:rPr>
          <w:lang w:val="x-none" w:eastAsia="x-none"/>
        </w:rPr>
      </w:pPr>
    </w:p>
    <w:p w14:paraId="489BFDAC" w14:textId="77777777" w:rsidR="00EC2E6F" w:rsidRPr="00903530" w:rsidRDefault="00EC2E6F" w:rsidP="00EC2E6F">
      <w:pPr>
        <w:pStyle w:val="CitaoIntensa"/>
        <w:tabs>
          <w:tab w:val="left" w:pos="709"/>
        </w:tabs>
        <w:ind w:left="0"/>
        <w:jc w:val="center"/>
        <w:rPr>
          <w:color w:val="auto"/>
          <w:lang w:val="pt-BR"/>
        </w:rPr>
      </w:pPr>
      <w:r>
        <w:rPr>
          <w:color w:val="auto"/>
          <w:lang w:val="pt-BR"/>
        </w:rPr>
        <w:t>2</w:t>
      </w:r>
      <w:r w:rsidRPr="00903530">
        <w:rPr>
          <w:color w:val="auto"/>
          <w:lang w:val="pt-BR"/>
        </w:rPr>
        <w:t xml:space="preserve">. </w:t>
      </w:r>
      <w:r>
        <w:rPr>
          <w:color w:val="auto"/>
          <w:lang w:val="pt-BR"/>
        </w:rPr>
        <w:t>JUSTIFICATIVA</w:t>
      </w:r>
    </w:p>
    <w:p w14:paraId="235F9DB5" w14:textId="77777777" w:rsidR="00EC2E6F" w:rsidRDefault="00EC2E6F" w:rsidP="00EC2E6F">
      <w:pPr>
        <w:ind w:right="848"/>
        <w:jc w:val="both"/>
        <w:rPr>
          <w:bCs/>
          <w:iCs/>
          <w:lang w:eastAsia="x-none"/>
        </w:rPr>
      </w:pPr>
      <w:r>
        <w:rPr>
          <w:bCs/>
          <w:iCs/>
          <w:lang w:eastAsia="x-none"/>
        </w:rPr>
        <w:t>Criada</w:t>
      </w:r>
      <w:r w:rsidRPr="003914D6">
        <w:rPr>
          <w:bCs/>
          <w:iCs/>
          <w:lang w:eastAsia="x-none"/>
        </w:rPr>
        <w:t xml:space="preserve"> em </w:t>
      </w:r>
      <w:r>
        <w:rPr>
          <w:bCs/>
          <w:iCs/>
          <w:lang w:eastAsia="x-none"/>
        </w:rPr>
        <w:t xml:space="preserve">dezembro de </w:t>
      </w:r>
      <w:r w:rsidRPr="003914D6">
        <w:rPr>
          <w:bCs/>
          <w:iCs/>
          <w:lang w:eastAsia="x-none"/>
        </w:rPr>
        <w:t>1994, a Lei</w:t>
      </w:r>
      <w:r>
        <w:rPr>
          <w:bCs/>
          <w:iCs/>
          <w:lang w:eastAsia="x-none"/>
        </w:rPr>
        <w:t xml:space="preserve"> Gaúcha das Águas, Lei</w:t>
      </w:r>
      <w:r w:rsidRPr="003914D6">
        <w:rPr>
          <w:bCs/>
          <w:iCs/>
          <w:lang w:eastAsia="x-none"/>
        </w:rPr>
        <w:t xml:space="preserve"> 10.350/1994</w:t>
      </w:r>
      <w:r>
        <w:rPr>
          <w:bCs/>
          <w:iCs/>
          <w:lang w:eastAsia="x-none"/>
        </w:rPr>
        <w:t>,</w:t>
      </w:r>
      <w:r w:rsidRPr="003914D6">
        <w:rPr>
          <w:bCs/>
          <w:iCs/>
          <w:lang w:eastAsia="x-none"/>
        </w:rPr>
        <w:t xml:space="preserve"> pode ser considerada como um marco na legislação referente à política de gestão de recursos hídricos no Brasil, influenciando diversas </w:t>
      </w:r>
      <w:r>
        <w:rPr>
          <w:bCs/>
          <w:iCs/>
          <w:lang w:eastAsia="x-none"/>
        </w:rPr>
        <w:t>L</w:t>
      </w:r>
      <w:r w:rsidRPr="003914D6">
        <w:rPr>
          <w:bCs/>
          <w:iCs/>
          <w:lang w:eastAsia="x-none"/>
        </w:rPr>
        <w:t xml:space="preserve">egislações </w:t>
      </w:r>
      <w:r>
        <w:rPr>
          <w:bCs/>
          <w:iCs/>
          <w:lang w:eastAsia="x-none"/>
        </w:rPr>
        <w:t>E</w:t>
      </w:r>
      <w:r w:rsidRPr="003914D6">
        <w:rPr>
          <w:bCs/>
          <w:iCs/>
          <w:lang w:eastAsia="x-none"/>
        </w:rPr>
        <w:t>staduais</w:t>
      </w:r>
      <w:r>
        <w:rPr>
          <w:bCs/>
          <w:iCs/>
          <w:lang w:eastAsia="x-none"/>
        </w:rPr>
        <w:t xml:space="preserve"> sobre recursos hídricos</w:t>
      </w:r>
      <w:r w:rsidRPr="003914D6">
        <w:rPr>
          <w:bCs/>
          <w:iCs/>
          <w:lang w:eastAsia="x-none"/>
        </w:rPr>
        <w:t xml:space="preserve"> e </w:t>
      </w:r>
      <w:r>
        <w:rPr>
          <w:bCs/>
          <w:iCs/>
          <w:lang w:eastAsia="x-none"/>
        </w:rPr>
        <w:t>a Lei Federal 9.433/1997 que instituiu a Política Nacional de Recursos Hídricos</w:t>
      </w:r>
      <w:r w:rsidRPr="003914D6">
        <w:rPr>
          <w:bCs/>
          <w:iCs/>
          <w:lang w:eastAsia="x-none"/>
        </w:rPr>
        <w:t>.</w:t>
      </w:r>
    </w:p>
    <w:p w14:paraId="2631E3A6" w14:textId="77777777" w:rsidR="00EC2E6F" w:rsidRDefault="00EC2E6F" w:rsidP="00EC2E6F">
      <w:pPr>
        <w:ind w:right="848"/>
        <w:jc w:val="both"/>
        <w:rPr>
          <w:bCs/>
          <w:iCs/>
          <w:lang w:eastAsia="x-none"/>
        </w:rPr>
      </w:pPr>
    </w:p>
    <w:p w14:paraId="62F7284D" w14:textId="77777777" w:rsidR="00EC2E6F" w:rsidRDefault="00EC2E6F" w:rsidP="00EC2E6F">
      <w:pPr>
        <w:ind w:right="848"/>
        <w:jc w:val="both"/>
        <w:rPr>
          <w:bCs/>
          <w:iCs/>
          <w:lang w:eastAsia="x-none"/>
        </w:rPr>
      </w:pPr>
      <w:r>
        <w:rPr>
          <w:bCs/>
          <w:iCs/>
          <w:lang w:eastAsia="x-none"/>
        </w:rPr>
        <w:t xml:space="preserve">Passados quase 26 anos de sua trajetória, a implantação de seus dispositivos vem ocorrendo de forma irregular em função de uma série de fatores que variam, no tempo e na forma, conforme a conjuntura institucional do Poder Público responsável por sua configuração. A caracterização desse cenário de irregularidade não se restringe ao Rio Grande do Sul. Tanto no nível federal quanto nos Sistemas Estaduais, os instrumentos de gestão de recursos hídricos que deram forma à doutrina da concepção dos Sistemas, Nacional e Estaduais vêm enfrentando inúmeros obstáculos. Todos decorrentes das dificuldades de inserção da legislação de recursos hídricos no arcabouço legal brasileiro. </w:t>
      </w:r>
    </w:p>
    <w:p w14:paraId="3ED1F960" w14:textId="77777777" w:rsidR="00EC2E6F" w:rsidRDefault="00EC2E6F" w:rsidP="00EC2E6F">
      <w:pPr>
        <w:ind w:right="848"/>
        <w:jc w:val="both"/>
        <w:rPr>
          <w:bCs/>
          <w:iCs/>
          <w:lang w:eastAsia="x-none"/>
        </w:rPr>
      </w:pPr>
    </w:p>
    <w:p w14:paraId="1858A4D4" w14:textId="77777777" w:rsidR="00EC2E6F" w:rsidRDefault="00EC2E6F" w:rsidP="00EC2E6F">
      <w:pPr>
        <w:ind w:right="848"/>
        <w:jc w:val="both"/>
        <w:rPr>
          <w:bCs/>
          <w:iCs/>
          <w:lang w:eastAsia="x-none"/>
        </w:rPr>
      </w:pPr>
      <w:r>
        <w:rPr>
          <w:bCs/>
          <w:iCs/>
          <w:lang w:eastAsia="x-none"/>
        </w:rPr>
        <w:t xml:space="preserve">Ao longo dos anos, as dificuldades vêm aumentando no Rio Grande do Sul, o que nos coloca frente ao enfrentamento dos seguintes desafios: 1) a não implantação do instrumento de gestão, a Cobrança pelo uso dos recursos hídricos no Estado, tem gerado quase que um “tabu” em torno do tema; 2) a ausência de um órgão de Apoio Técnico (Agências de Bacia Hidrográfica, que conforme a Lei deveriam ser 03 órgãos públicos, um por Região Hidrográfica </w:t>
      </w:r>
      <w:r>
        <w:rPr>
          <w:bCs/>
          <w:iCs/>
          <w:lang w:eastAsia="x-none"/>
        </w:rPr>
        <w:lastRenderedPageBreak/>
        <w:t xml:space="preserve">do Estado) atuante junto aos 25 </w:t>
      </w:r>
      <w:proofErr w:type="spellStart"/>
      <w:r>
        <w:rPr>
          <w:bCs/>
          <w:iCs/>
          <w:lang w:eastAsia="x-none"/>
        </w:rPr>
        <w:t>CBHs</w:t>
      </w:r>
      <w:proofErr w:type="spellEnd"/>
      <w:r>
        <w:rPr>
          <w:bCs/>
          <w:iCs/>
          <w:lang w:eastAsia="x-none"/>
        </w:rPr>
        <w:t xml:space="preserve"> e ao DRHS, ocasionando uma crise de identidade institucional entre as diferentes entidades que compõem o Sistema Estadual de Recursos Hídricos (SERH), além de gerar um vácuo técnico importantíssimo; 3) o consequente desvio institucional no desempenho das competências e atribuições tanto do Departamento de Gestão de Recursos Hídricos e Saneamento quanto dos Comitês de Gerenciamento de Bacias Hidrográficas (</w:t>
      </w:r>
      <w:proofErr w:type="spellStart"/>
      <w:r>
        <w:rPr>
          <w:bCs/>
          <w:iCs/>
          <w:lang w:eastAsia="x-none"/>
        </w:rPr>
        <w:t>CBHs</w:t>
      </w:r>
      <w:proofErr w:type="spellEnd"/>
      <w:r>
        <w:rPr>
          <w:bCs/>
          <w:iCs/>
          <w:lang w:eastAsia="x-none"/>
        </w:rPr>
        <w:t xml:space="preserve">); 4) a interrupção imediata das soluções paliativas no encaminhamento do equacionamento das dificuldades enfrentadas pelo Sistema Gaúcho, que tem gerado atos legais e normativos estratégicos na configuração legal do SERH, modificando a Lei 10.350/94 de maneira pontual com a consequência desastrosa da perda da organicidade da Lei. </w:t>
      </w:r>
    </w:p>
    <w:p w14:paraId="1BB82166" w14:textId="77777777" w:rsidR="00EC2E6F" w:rsidRDefault="00EC2E6F" w:rsidP="00EC2E6F">
      <w:pPr>
        <w:ind w:right="848"/>
        <w:jc w:val="both"/>
        <w:rPr>
          <w:bCs/>
          <w:iCs/>
          <w:lang w:eastAsia="x-none"/>
        </w:rPr>
      </w:pPr>
    </w:p>
    <w:p w14:paraId="01E60B5E" w14:textId="77777777" w:rsidR="00EC2E6F" w:rsidRDefault="00EC2E6F" w:rsidP="00EC2E6F">
      <w:pPr>
        <w:ind w:right="848"/>
        <w:jc w:val="both"/>
        <w:rPr>
          <w:rStyle w:val="apple-style-span"/>
          <w:rFonts w:ascii="Arial" w:hAnsi="Arial" w:cs="Arial"/>
          <w:sz w:val="22"/>
          <w:szCs w:val="22"/>
        </w:rPr>
      </w:pPr>
      <w:r>
        <w:rPr>
          <w:bCs/>
          <w:iCs/>
          <w:lang w:eastAsia="x-none"/>
        </w:rPr>
        <w:t>Assim, dentre os vários processos sociais derivados deste contexto, é urgente a realização de uma nova leitura sobre as proposições expostas na Lei Estadual 10.350/1994, avaliando seus resultados positivos, os impactos da não implantação do binômio Agência/Cobrança, as limitações da Lei e incorporando as inúmeras experiências desenvolvidas no país ao longo desses quase 26 anos de existência da Lei 10.350/94, a Lei Gaúcha das Águas.</w:t>
      </w:r>
    </w:p>
    <w:p w14:paraId="714EC94C" w14:textId="77777777" w:rsidR="00EC2E6F" w:rsidRPr="00A2084D" w:rsidRDefault="00EC2E6F" w:rsidP="00EC2E6F">
      <w:pPr>
        <w:jc w:val="both"/>
        <w:rPr>
          <w:rStyle w:val="apple-style-span"/>
          <w:rFonts w:ascii="Arial" w:hAnsi="Arial" w:cs="Arial"/>
          <w:bCs/>
          <w:sz w:val="22"/>
          <w:szCs w:val="22"/>
        </w:rPr>
      </w:pPr>
    </w:p>
    <w:p w14:paraId="768D52A2" w14:textId="77777777" w:rsidR="00EC2E6F" w:rsidRDefault="00EC2E6F" w:rsidP="00EC2E6F">
      <w:pPr>
        <w:pStyle w:val="CitaoIntensa"/>
        <w:ind w:left="0"/>
        <w:jc w:val="center"/>
        <w:rPr>
          <w:color w:val="auto"/>
          <w:lang w:val="pt-BR"/>
        </w:rPr>
      </w:pPr>
      <w:r>
        <w:rPr>
          <w:color w:val="auto"/>
          <w:lang w:val="pt-BR"/>
        </w:rPr>
        <w:t>3. OBJETIVO GERAL</w:t>
      </w:r>
    </w:p>
    <w:p w14:paraId="26A80285" w14:textId="67FB16E2" w:rsidR="00EC2E6F" w:rsidRDefault="00EC2E6F" w:rsidP="00EC2E6F">
      <w:pPr>
        <w:ind w:right="848"/>
        <w:jc w:val="both"/>
        <w:rPr>
          <w:lang w:eastAsia="x-none"/>
        </w:rPr>
      </w:pPr>
      <w:r>
        <w:rPr>
          <w:lang w:eastAsia="x-none"/>
        </w:rPr>
        <w:t xml:space="preserve">O objetivo geral deste </w:t>
      </w:r>
      <w:r w:rsidR="00FF3A1E">
        <w:rPr>
          <w:lang w:eastAsia="x-none"/>
        </w:rPr>
        <w:t>documento</w:t>
      </w:r>
      <w:r>
        <w:rPr>
          <w:lang w:eastAsia="x-none"/>
        </w:rPr>
        <w:t xml:space="preserve"> é estabelecer as diretrizes metodológicas para a execução do trabalho de modernização da Lei Estadual de Recursos Hídricos (Lei Estadual 10.350/1994). </w:t>
      </w:r>
    </w:p>
    <w:p w14:paraId="167570ED" w14:textId="77777777" w:rsidR="00EC2E6F" w:rsidRDefault="00EC2E6F" w:rsidP="00EC2E6F">
      <w:pPr>
        <w:pStyle w:val="CitaoIntensa"/>
        <w:ind w:left="0"/>
        <w:jc w:val="both"/>
        <w:rPr>
          <w:color w:val="000000"/>
          <w:lang w:val="pt-BR"/>
        </w:rPr>
      </w:pPr>
    </w:p>
    <w:p w14:paraId="3279E7F3" w14:textId="77777777" w:rsidR="00EC2E6F" w:rsidRPr="00CD5690" w:rsidRDefault="00EC2E6F" w:rsidP="00EC2E6F">
      <w:pPr>
        <w:pStyle w:val="CitaoIntensa"/>
        <w:ind w:left="0"/>
        <w:jc w:val="center"/>
        <w:rPr>
          <w:color w:val="000000"/>
          <w:lang w:val="pt-BR"/>
        </w:rPr>
      </w:pPr>
      <w:r>
        <w:rPr>
          <w:color w:val="000000"/>
          <w:lang w:val="pt-BR"/>
        </w:rPr>
        <w:t xml:space="preserve">4. </w:t>
      </w:r>
      <w:r w:rsidRPr="00CD5690">
        <w:rPr>
          <w:color w:val="000000"/>
          <w:lang w:val="pt-BR"/>
        </w:rPr>
        <w:t>OBJETIVOS ESPECÍFICOS</w:t>
      </w:r>
    </w:p>
    <w:p w14:paraId="62202A7C" w14:textId="4FCAB5BD" w:rsidR="00EC2E6F" w:rsidRDefault="00EC2E6F" w:rsidP="00EC2E6F">
      <w:pPr>
        <w:ind w:right="848"/>
        <w:jc w:val="both"/>
      </w:pPr>
      <w:r>
        <w:t xml:space="preserve">• </w:t>
      </w:r>
      <w:r w:rsidR="00FF3A1E">
        <w:t>Orientar a a</w:t>
      </w:r>
      <w:r>
        <w:t>valia</w:t>
      </w:r>
      <w:r w:rsidR="00FF3A1E">
        <w:t xml:space="preserve">ção </w:t>
      </w:r>
      <w:r>
        <w:t>sistêmica a situação atual da implantação da Lei 10.350/1994 e caracterização dos impasses decorrentes tanto dos instrumentos previstos na Lei quanto na sua condução ao longo do período</w:t>
      </w:r>
      <w:r w:rsidR="00FF3A1E">
        <w:t>.</w:t>
      </w:r>
    </w:p>
    <w:p w14:paraId="070AB78F" w14:textId="77777777" w:rsidR="00EC2E6F" w:rsidRDefault="00EC2E6F" w:rsidP="00EC2E6F">
      <w:pPr>
        <w:ind w:right="848"/>
        <w:jc w:val="both"/>
      </w:pPr>
    </w:p>
    <w:p w14:paraId="41309AA0" w14:textId="2630B1E0" w:rsidR="00EC2E6F" w:rsidRDefault="00EC2E6F" w:rsidP="00EC2E6F">
      <w:pPr>
        <w:ind w:right="848"/>
        <w:jc w:val="both"/>
      </w:pPr>
      <w:r>
        <w:t xml:space="preserve">• </w:t>
      </w:r>
      <w:r w:rsidR="00FF3A1E">
        <w:t>Orientar a organização</w:t>
      </w:r>
      <w:r>
        <w:t xml:space="preserve"> de propostas alternativas de modernização dos instrumentos ainda não implantados e de regulamentação dos instrumentos de planejamento e gestão propostos</w:t>
      </w:r>
      <w:r w:rsidR="00FF3A1E">
        <w:t>.</w:t>
      </w:r>
    </w:p>
    <w:p w14:paraId="00A8D661" w14:textId="77777777" w:rsidR="00EC2E6F" w:rsidRDefault="00EC2E6F" w:rsidP="00EC2E6F">
      <w:pPr>
        <w:ind w:right="848"/>
        <w:jc w:val="both"/>
      </w:pPr>
    </w:p>
    <w:p w14:paraId="6834EA14" w14:textId="7B27D539" w:rsidR="00EC2E6F" w:rsidRDefault="00EC2E6F" w:rsidP="00EC2E6F">
      <w:pPr>
        <w:ind w:right="706"/>
        <w:jc w:val="both"/>
      </w:pPr>
      <w:r>
        <w:t xml:space="preserve">• </w:t>
      </w:r>
      <w:r w:rsidR="00FF3A1E">
        <w:t>Orientar a e</w:t>
      </w:r>
      <w:r>
        <w:t>laboração da minuta de projeto de lei.</w:t>
      </w:r>
    </w:p>
    <w:p w14:paraId="5104ECDD" w14:textId="422BE3F8" w:rsidR="00EC2E6F" w:rsidRDefault="00EC2E6F" w:rsidP="00EC2E6F">
      <w:pPr>
        <w:jc w:val="both"/>
      </w:pPr>
    </w:p>
    <w:p w14:paraId="28D5691A" w14:textId="1E2DD347" w:rsidR="00FF3A1E" w:rsidRDefault="00FF3A1E" w:rsidP="00EC2E6F">
      <w:pPr>
        <w:jc w:val="both"/>
      </w:pPr>
    </w:p>
    <w:p w14:paraId="5F0F138C" w14:textId="77777777" w:rsidR="00FF3A1E" w:rsidRDefault="00FF3A1E" w:rsidP="00EC2E6F">
      <w:pPr>
        <w:jc w:val="both"/>
      </w:pPr>
    </w:p>
    <w:p w14:paraId="44FFB94B" w14:textId="77777777" w:rsidR="00EC2E6F" w:rsidRPr="001C5D65" w:rsidRDefault="00EC2E6F" w:rsidP="00EC2E6F">
      <w:pPr>
        <w:pStyle w:val="CitaoIntensa"/>
        <w:ind w:left="0"/>
        <w:jc w:val="center"/>
        <w:rPr>
          <w:color w:val="000000"/>
          <w:lang w:val="pt-BR"/>
        </w:rPr>
      </w:pPr>
      <w:r>
        <w:rPr>
          <w:color w:val="000000"/>
          <w:lang w:val="pt-BR"/>
        </w:rPr>
        <w:t>5. ETAPAS DE TRABALHO</w:t>
      </w:r>
    </w:p>
    <w:p w14:paraId="21745860" w14:textId="77777777" w:rsidR="00EC2E6F" w:rsidRPr="00513C97" w:rsidRDefault="00EC2E6F" w:rsidP="00EC2E6F">
      <w:pPr>
        <w:jc w:val="both"/>
        <w:rPr>
          <w:b/>
          <w:lang w:eastAsia="x-none"/>
        </w:rPr>
      </w:pPr>
      <w:r w:rsidRPr="00513C97">
        <w:rPr>
          <w:b/>
          <w:lang w:eastAsia="x-none"/>
        </w:rPr>
        <w:t>Etapa 1 – Plano de Trabalho</w:t>
      </w:r>
    </w:p>
    <w:p w14:paraId="076F2475" w14:textId="77777777" w:rsidR="00EC2E6F" w:rsidRDefault="00EC2E6F" w:rsidP="00EC2E6F">
      <w:pPr>
        <w:jc w:val="both"/>
        <w:rPr>
          <w:lang w:eastAsia="x-none"/>
        </w:rPr>
      </w:pPr>
    </w:p>
    <w:p w14:paraId="4DD65E37" w14:textId="77777777" w:rsidR="00EC2E6F" w:rsidRDefault="00EC2E6F" w:rsidP="00EC2E6F">
      <w:pPr>
        <w:jc w:val="both"/>
        <w:rPr>
          <w:lang w:eastAsia="x-none"/>
        </w:rPr>
      </w:pPr>
      <w:r>
        <w:rPr>
          <w:lang w:eastAsia="x-none"/>
        </w:rPr>
        <w:t>Nessa fase inicial será elaborado o planejamento da execução do Objeto compreendendo:</w:t>
      </w:r>
    </w:p>
    <w:p w14:paraId="33E94949" w14:textId="77777777" w:rsidR="00EC2E6F" w:rsidRDefault="00EC2E6F" w:rsidP="00EC2E6F">
      <w:pPr>
        <w:jc w:val="both"/>
        <w:rPr>
          <w:lang w:eastAsia="x-none"/>
        </w:rPr>
      </w:pPr>
    </w:p>
    <w:p w14:paraId="17AD3F2D" w14:textId="6EEB9AFF" w:rsidR="00EC2E6F" w:rsidRDefault="00EC2E6F" w:rsidP="00EC2E6F">
      <w:pPr>
        <w:jc w:val="both"/>
        <w:rPr>
          <w:lang w:eastAsia="x-none"/>
        </w:rPr>
      </w:pPr>
      <w:r>
        <w:rPr>
          <w:lang w:eastAsia="x-none"/>
        </w:rPr>
        <w:t>- A definição das etapas metodológicas a serem desenvolvidas para o cumprimento do Objeto do trabalho</w:t>
      </w:r>
      <w:r w:rsidR="00FF3A1E">
        <w:rPr>
          <w:lang w:eastAsia="x-none"/>
        </w:rPr>
        <w:t>.</w:t>
      </w:r>
    </w:p>
    <w:p w14:paraId="6C5D6A07" w14:textId="016E94D4" w:rsidR="00EC2E6F" w:rsidRDefault="00EC2E6F" w:rsidP="00EC2E6F">
      <w:pPr>
        <w:jc w:val="both"/>
        <w:rPr>
          <w:lang w:eastAsia="x-none"/>
        </w:rPr>
      </w:pPr>
      <w:r>
        <w:rPr>
          <w:lang w:eastAsia="x-none"/>
        </w:rPr>
        <w:t>- A proposta de pacto institucional quanto aos prazos de execução de cada Etapa</w:t>
      </w:r>
      <w:r w:rsidR="00FF3A1E">
        <w:rPr>
          <w:lang w:eastAsia="x-none"/>
        </w:rPr>
        <w:t>.</w:t>
      </w:r>
    </w:p>
    <w:p w14:paraId="56B96FB9" w14:textId="77777777" w:rsidR="00EC2E6F" w:rsidRDefault="00EC2E6F" w:rsidP="00EC2E6F">
      <w:pPr>
        <w:jc w:val="both"/>
        <w:rPr>
          <w:lang w:eastAsia="x-none"/>
        </w:rPr>
      </w:pPr>
      <w:r>
        <w:rPr>
          <w:lang w:eastAsia="x-none"/>
        </w:rPr>
        <w:t>- A definição dos produtos parciais;</w:t>
      </w:r>
    </w:p>
    <w:p w14:paraId="22FFFCAD" w14:textId="77777777" w:rsidR="00EC2E6F" w:rsidRDefault="00EC2E6F" w:rsidP="00EC2E6F">
      <w:pPr>
        <w:jc w:val="both"/>
        <w:rPr>
          <w:lang w:eastAsia="x-none"/>
        </w:rPr>
      </w:pPr>
      <w:r>
        <w:rPr>
          <w:lang w:eastAsia="x-none"/>
        </w:rPr>
        <w:t>- A proposição de procedimentos de comunicação do processo de modernização da Lei.</w:t>
      </w:r>
    </w:p>
    <w:p w14:paraId="518D44F9" w14:textId="77777777" w:rsidR="00EC2E6F" w:rsidRDefault="00EC2E6F" w:rsidP="00EC2E6F">
      <w:pPr>
        <w:jc w:val="both"/>
        <w:rPr>
          <w:lang w:eastAsia="x-none"/>
        </w:rPr>
      </w:pPr>
    </w:p>
    <w:p w14:paraId="339BF347" w14:textId="77777777" w:rsidR="00EC2E6F" w:rsidRDefault="00EC2E6F" w:rsidP="00EC2E6F">
      <w:pPr>
        <w:jc w:val="both"/>
        <w:rPr>
          <w:lang w:eastAsia="x-none"/>
        </w:rPr>
      </w:pPr>
      <w:r w:rsidRPr="007B7E1F">
        <w:rPr>
          <w:b/>
          <w:lang w:eastAsia="x-none"/>
        </w:rPr>
        <w:t>Produto 1</w:t>
      </w:r>
      <w:r>
        <w:rPr>
          <w:lang w:eastAsia="x-none"/>
        </w:rPr>
        <w:t>: Apresentação do Plano de Trabalho.</w:t>
      </w:r>
    </w:p>
    <w:p w14:paraId="00D0B713" w14:textId="77777777" w:rsidR="00EC2E6F" w:rsidRDefault="00EC2E6F" w:rsidP="00EC2E6F">
      <w:pPr>
        <w:jc w:val="both"/>
        <w:rPr>
          <w:b/>
          <w:lang w:eastAsia="x-none"/>
        </w:rPr>
      </w:pPr>
    </w:p>
    <w:p w14:paraId="620C03EE" w14:textId="77777777" w:rsidR="00EC2E6F" w:rsidRDefault="00EC2E6F" w:rsidP="00EC2E6F">
      <w:pPr>
        <w:jc w:val="both"/>
        <w:rPr>
          <w:b/>
          <w:lang w:eastAsia="x-none"/>
        </w:rPr>
      </w:pPr>
    </w:p>
    <w:p w14:paraId="01FFABDD" w14:textId="77777777" w:rsidR="00EC2E6F" w:rsidRPr="00513C97" w:rsidRDefault="00EC2E6F" w:rsidP="00EC2E6F">
      <w:pPr>
        <w:jc w:val="both"/>
        <w:rPr>
          <w:b/>
          <w:lang w:eastAsia="x-none"/>
        </w:rPr>
      </w:pPr>
      <w:r>
        <w:rPr>
          <w:b/>
          <w:lang w:eastAsia="x-none"/>
        </w:rPr>
        <w:t>Etapa 2 – Diagnóstico da impla</w:t>
      </w:r>
      <w:r w:rsidRPr="00513C97">
        <w:rPr>
          <w:b/>
          <w:lang w:eastAsia="x-none"/>
        </w:rPr>
        <w:t>ntação da Lei Estadual 10.350/1994</w:t>
      </w:r>
    </w:p>
    <w:p w14:paraId="4870F987" w14:textId="77777777" w:rsidR="00EC2E6F" w:rsidRDefault="00EC2E6F" w:rsidP="00EC2E6F">
      <w:pPr>
        <w:jc w:val="both"/>
        <w:rPr>
          <w:lang w:eastAsia="x-none"/>
        </w:rPr>
      </w:pPr>
    </w:p>
    <w:p w14:paraId="31218B62" w14:textId="77777777" w:rsidR="00EC2E6F" w:rsidRDefault="00EC2E6F" w:rsidP="00EC2E6F">
      <w:pPr>
        <w:jc w:val="both"/>
        <w:rPr>
          <w:lang w:eastAsia="x-none"/>
        </w:rPr>
      </w:pPr>
      <w:r>
        <w:rPr>
          <w:lang w:eastAsia="x-none"/>
        </w:rPr>
        <w:t>Nesta Etapa será desenvolvida uma avaliação objetiva e sintética, relacionando as condições atuais da implantação da Lei Gaúcha das Águas, suas alterações e os Decretos que a regulamentaram, compreendendo:</w:t>
      </w:r>
    </w:p>
    <w:p w14:paraId="6EED0930" w14:textId="77777777" w:rsidR="00EC2E6F" w:rsidRDefault="00EC2E6F" w:rsidP="00EC2E6F">
      <w:pPr>
        <w:jc w:val="both"/>
        <w:rPr>
          <w:lang w:eastAsia="x-none"/>
        </w:rPr>
      </w:pPr>
    </w:p>
    <w:p w14:paraId="1686676F" w14:textId="77777777" w:rsidR="00EC2E6F" w:rsidRDefault="00EC2E6F" w:rsidP="00EC2E6F">
      <w:pPr>
        <w:jc w:val="both"/>
        <w:rPr>
          <w:lang w:eastAsia="x-none"/>
        </w:rPr>
      </w:pPr>
      <w:r>
        <w:rPr>
          <w:lang w:eastAsia="x-none"/>
        </w:rPr>
        <w:t>2.1. Situação atual quanto à implantação dos Instrumentos de Planejamento e</w:t>
      </w:r>
      <w:r w:rsidRPr="007B7E1F">
        <w:rPr>
          <w:lang w:eastAsia="x-none"/>
        </w:rPr>
        <w:t xml:space="preserve"> </w:t>
      </w:r>
      <w:r>
        <w:rPr>
          <w:lang w:eastAsia="x-none"/>
        </w:rPr>
        <w:t>Gestão:</w:t>
      </w:r>
    </w:p>
    <w:p w14:paraId="3D3ABD81" w14:textId="77777777" w:rsidR="00EC2E6F" w:rsidRDefault="00EC2E6F" w:rsidP="00EC2E6F">
      <w:pPr>
        <w:jc w:val="both"/>
        <w:rPr>
          <w:lang w:eastAsia="x-none"/>
        </w:rPr>
      </w:pPr>
      <w:r>
        <w:rPr>
          <w:lang w:eastAsia="x-none"/>
        </w:rPr>
        <w:t>- Sistema de Emissão de Outorga;</w:t>
      </w:r>
    </w:p>
    <w:p w14:paraId="1184CFD7" w14:textId="77777777" w:rsidR="00EC2E6F" w:rsidRDefault="00EC2E6F" w:rsidP="00EC2E6F">
      <w:pPr>
        <w:jc w:val="both"/>
        <w:rPr>
          <w:lang w:eastAsia="x-none"/>
        </w:rPr>
      </w:pPr>
      <w:r>
        <w:rPr>
          <w:lang w:eastAsia="x-none"/>
        </w:rPr>
        <w:t>- Planos de Bacia Hidrográfica;</w:t>
      </w:r>
    </w:p>
    <w:p w14:paraId="2F2613A5" w14:textId="77777777" w:rsidR="00EC2E6F" w:rsidRDefault="00EC2E6F" w:rsidP="00EC2E6F">
      <w:pPr>
        <w:jc w:val="both"/>
        <w:rPr>
          <w:lang w:eastAsia="x-none"/>
        </w:rPr>
      </w:pPr>
      <w:r>
        <w:rPr>
          <w:lang w:eastAsia="x-none"/>
        </w:rPr>
        <w:t>- Enquadramento;</w:t>
      </w:r>
      <w:r w:rsidRPr="007B7E1F">
        <w:rPr>
          <w:lang w:eastAsia="x-none"/>
        </w:rPr>
        <w:t xml:space="preserve"> </w:t>
      </w:r>
    </w:p>
    <w:p w14:paraId="62CC5EAE" w14:textId="77777777" w:rsidR="00EC2E6F" w:rsidRDefault="00EC2E6F" w:rsidP="00EC2E6F">
      <w:pPr>
        <w:jc w:val="both"/>
        <w:rPr>
          <w:lang w:eastAsia="x-none"/>
        </w:rPr>
      </w:pPr>
      <w:r>
        <w:rPr>
          <w:lang w:eastAsia="x-none"/>
        </w:rPr>
        <w:t>-Agências de Região Hidrográfica;</w:t>
      </w:r>
    </w:p>
    <w:p w14:paraId="55592CD3" w14:textId="77777777" w:rsidR="00EC2E6F" w:rsidRDefault="00EC2E6F" w:rsidP="00EC2E6F">
      <w:pPr>
        <w:jc w:val="both"/>
        <w:rPr>
          <w:lang w:eastAsia="x-none"/>
        </w:rPr>
      </w:pPr>
      <w:r>
        <w:rPr>
          <w:lang w:eastAsia="x-none"/>
        </w:rPr>
        <w:t>- Cobrança e,</w:t>
      </w:r>
    </w:p>
    <w:p w14:paraId="59197EE8" w14:textId="0A504051" w:rsidR="00EC2E6F" w:rsidRDefault="00EC2E6F" w:rsidP="00EC2E6F">
      <w:pPr>
        <w:jc w:val="both"/>
        <w:rPr>
          <w:lang w:eastAsia="x-none"/>
        </w:rPr>
      </w:pPr>
      <w:r>
        <w:rPr>
          <w:lang w:eastAsia="x-none"/>
        </w:rPr>
        <w:t>- Outros Mecanismos de Financiamento e Sustentabilidade do SERH.</w:t>
      </w:r>
    </w:p>
    <w:p w14:paraId="43C018DA" w14:textId="77777777" w:rsidR="00FF3A1E" w:rsidRDefault="00FF3A1E" w:rsidP="00EC2E6F">
      <w:pPr>
        <w:jc w:val="both"/>
        <w:rPr>
          <w:lang w:eastAsia="x-none"/>
        </w:rPr>
      </w:pPr>
    </w:p>
    <w:p w14:paraId="42266578" w14:textId="77777777" w:rsidR="00EC2E6F" w:rsidRDefault="00EC2E6F" w:rsidP="00EC2E6F">
      <w:pPr>
        <w:jc w:val="both"/>
        <w:rPr>
          <w:lang w:eastAsia="x-none"/>
        </w:rPr>
      </w:pPr>
      <w:r>
        <w:rPr>
          <w:lang w:eastAsia="x-none"/>
        </w:rPr>
        <w:t>2.2. Diagnóstico do desenvolvimento da estrutura Institucional do Sistema Estadual de Recursos Hídricos</w:t>
      </w:r>
    </w:p>
    <w:p w14:paraId="560F889B" w14:textId="77777777" w:rsidR="00EC2E6F" w:rsidRDefault="00EC2E6F" w:rsidP="00EC2E6F">
      <w:pPr>
        <w:jc w:val="both"/>
        <w:rPr>
          <w:lang w:eastAsia="x-none"/>
        </w:rPr>
      </w:pPr>
    </w:p>
    <w:p w14:paraId="2CF87E3F" w14:textId="77777777" w:rsidR="00EC2E6F" w:rsidRDefault="00EC2E6F" w:rsidP="00EC2E6F">
      <w:pPr>
        <w:jc w:val="both"/>
        <w:rPr>
          <w:lang w:eastAsia="x-none"/>
        </w:rPr>
      </w:pPr>
      <w:r>
        <w:rPr>
          <w:lang w:eastAsia="x-none"/>
        </w:rPr>
        <w:t>• Avaliação dos papéis dos atores institucionais do SERH e o resultado de sua trajetória desde o início da implantação da Lei 10.350/1994;</w:t>
      </w:r>
    </w:p>
    <w:p w14:paraId="54100BDB" w14:textId="77777777" w:rsidR="00EC2E6F" w:rsidRDefault="00EC2E6F" w:rsidP="00EC2E6F">
      <w:pPr>
        <w:jc w:val="both"/>
        <w:rPr>
          <w:lang w:eastAsia="x-none"/>
        </w:rPr>
      </w:pPr>
      <w:r>
        <w:rPr>
          <w:lang w:eastAsia="x-none"/>
        </w:rPr>
        <w:t>• Avaliação da política de gestão de recursos hídricos consignada em lei, relacionando:</w:t>
      </w:r>
    </w:p>
    <w:p w14:paraId="06A3A9A7" w14:textId="77777777" w:rsidR="00EC2E6F" w:rsidRDefault="00EC2E6F" w:rsidP="00FF3A1E">
      <w:pPr>
        <w:ind w:left="709"/>
        <w:jc w:val="both"/>
        <w:rPr>
          <w:lang w:eastAsia="x-none"/>
        </w:rPr>
      </w:pPr>
      <w:r>
        <w:rPr>
          <w:lang w:eastAsia="x-none"/>
        </w:rPr>
        <w:t>- Os padrões de comportamento institucional de cada ator do SERH;</w:t>
      </w:r>
    </w:p>
    <w:p w14:paraId="4FB01E05" w14:textId="77777777" w:rsidR="00EC2E6F" w:rsidRDefault="00EC2E6F" w:rsidP="00FF3A1E">
      <w:pPr>
        <w:ind w:left="709"/>
        <w:jc w:val="both"/>
        <w:rPr>
          <w:lang w:eastAsia="x-none"/>
        </w:rPr>
      </w:pPr>
      <w:r>
        <w:rPr>
          <w:lang w:eastAsia="x-none"/>
        </w:rPr>
        <w:t>- As condições institucionais de viabilidade da identidade institucional;</w:t>
      </w:r>
    </w:p>
    <w:p w14:paraId="327C820E" w14:textId="77777777" w:rsidR="00EC2E6F" w:rsidRDefault="00EC2E6F" w:rsidP="00FF3A1E">
      <w:pPr>
        <w:ind w:left="709"/>
        <w:jc w:val="both"/>
        <w:rPr>
          <w:lang w:eastAsia="x-none"/>
        </w:rPr>
      </w:pPr>
      <w:r>
        <w:rPr>
          <w:lang w:eastAsia="x-none"/>
        </w:rPr>
        <w:lastRenderedPageBreak/>
        <w:t>- O quadro da oferta de possibilidades institucionais para materialização das competências dos atores do SERH:</w:t>
      </w:r>
    </w:p>
    <w:p w14:paraId="6D961D90" w14:textId="77777777" w:rsidR="00EC2E6F" w:rsidRDefault="00EC2E6F" w:rsidP="00EC2E6F">
      <w:pPr>
        <w:jc w:val="both"/>
        <w:rPr>
          <w:lang w:eastAsia="x-none"/>
        </w:rPr>
      </w:pPr>
      <w:r>
        <w:rPr>
          <w:lang w:eastAsia="x-none"/>
        </w:rPr>
        <w:t>• O desvio institucional das Resoluções do Conselho Estadual de Recursos Hídricos (aspectos gerais).</w:t>
      </w:r>
    </w:p>
    <w:p w14:paraId="32F90C48" w14:textId="77777777" w:rsidR="00EC2E6F" w:rsidRDefault="00EC2E6F" w:rsidP="00EC2E6F">
      <w:pPr>
        <w:jc w:val="both"/>
        <w:rPr>
          <w:lang w:eastAsia="x-none"/>
        </w:rPr>
      </w:pPr>
    </w:p>
    <w:p w14:paraId="17590073" w14:textId="0259A725" w:rsidR="00EC2E6F" w:rsidRDefault="00EC2E6F" w:rsidP="00EC2E6F">
      <w:pPr>
        <w:jc w:val="both"/>
        <w:rPr>
          <w:lang w:eastAsia="x-none"/>
        </w:rPr>
      </w:pPr>
      <w:r>
        <w:rPr>
          <w:lang w:eastAsia="x-none"/>
        </w:rPr>
        <w:t>2.3. Consolidação da</w:t>
      </w:r>
      <w:r w:rsidR="00FF3A1E">
        <w:rPr>
          <w:lang w:eastAsia="x-none"/>
        </w:rPr>
        <w:t>s manifestações</w:t>
      </w:r>
      <w:r>
        <w:rPr>
          <w:lang w:eastAsia="x-none"/>
        </w:rPr>
        <w:t xml:space="preserve"> dos atores do SERH acerca do processo de modernização da Lei Estadual </w:t>
      </w:r>
      <w:r w:rsidR="00435E89">
        <w:rPr>
          <w:lang w:eastAsia="x-none"/>
        </w:rPr>
        <w:t>obtidas através da</w:t>
      </w:r>
      <w:r>
        <w:rPr>
          <w:lang w:eastAsia="x-none"/>
        </w:rPr>
        <w:t xml:space="preserve"> coleta das informações e das sugestões de alterações da lei Estadual.</w:t>
      </w:r>
    </w:p>
    <w:p w14:paraId="4C72EA88" w14:textId="77777777" w:rsidR="00EC2E6F" w:rsidRDefault="00EC2E6F" w:rsidP="00EC2E6F">
      <w:pPr>
        <w:jc w:val="both"/>
        <w:rPr>
          <w:lang w:eastAsia="x-none"/>
        </w:rPr>
      </w:pPr>
    </w:p>
    <w:p w14:paraId="6F9C4A6E" w14:textId="77777777" w:rsidR="00EC2E6F" w:rsidRDefault="00EC2E6F" w:rsidP="00EC2E6F">
      <w:pPr>
        <w:jc w:val="both"/>
        <w:rPr>
          <w:lang w:eastAsia="x-none"/>
        </w:rPr>
      </w:pPr>
      <w:r w:rsidRPr="00B17184">
        <w:rPr>
          <w:b/>
          <w:lang w:eastAsia="x-none"/>
        </w:rPr>
        <w:t>Produto 2.1</w:t>
      </w:r>
      <w:r>
        <w:rPr>
          <w:lang w:eastAsia="x-none"/>
        </w:rPr>
        <w:t>: Apresentação do diagnóstico conciso da s</w:t>
      </w:r>
      <w:r w:rsidRPr="0051681D">
        <w:rPr>
          <w:lang w:eastAsia="x-none"/>
        </w:rPr>
        <w:t>ituação atual dos Instrumentos de Gestão e Planejamento</w:t>
      </w:r>
      <w:r>
        <w:rPr>
          <w:lang w:eastAsia="x-none"/>
        </w:rPr>
        <w:t xml:space="preserve"> conforme a Lei 10.350/1994, bem como do d</w:t>
      </w:r>
      <w:r w:rsidRPr="00AF2BF4">
        <w:rPr>
          <w:lang w:eastAsia="x-none"/>
        </w:rPr>
        <w:t>iagnóstico</w:t>
      </w:r>
      <w:r>
        <w:rPr>
          <w:lang w:eastAsia="x-none"/>
        </w:rPr>
        <w:t xml:space="preserve"> analítico</w:t>
      </w:r>
      <w:r w:rsidRPr="00AF2BF4">
        <w:rPr>
          <w:lang w:eastAsia="x-none"/>
        </w:rPr>
        <w:t xml:space="preserve"> do desenvolvimento da estrutura Institucional do Sistema Estadual de Recursos Hídricos</w:t>
      </w:r>
      <w:r>
        <w:rPr>
          <w:lang w:eastAsia="x-none"/>
        </w:rPr>
        <w:t>.</w:t>
      </w:r>
    </w:p>
    <w:p w14:paraId="59E054CC" w14:textId="77777777" w:rsidR="00EC2E6F" w:rsidRDefault="00EC2E6F" w:rsidP="00EC2E6F">
      <w:pPr>
        <w:jc w:val="both"/>
        <w:rPr>
          <w:lang w:eastAsia="x-none"/>
        </w:rPr>
      </w:pPr>
    </w:p>
    <w:p w14:paraId="0E21F340" w14:textId="77777777" w:rsidR="00EC2E6F" w:rsidRDefault="00EC2E6F" w:rsidP="00EC2E6F">
      <w:pPr>
        <w:jc w:val="both"/>
        <w:rPr>
          <w:lang w:eastAsia="x-none"/>
        </w:rPr>
      </w:pPr>
      <w:r w:rsidRPr="00B17184">
        <w:rPr>
          <w:b/>
          <w:lang w:eastAsia="x-none"/>
        </w:rPr>
        <w:t>Produto 2.2</w:t>
      </w:r>
      <w:r>
        <w:rPr>
          <w:lang w:eastAsia="x-none"/>
        </w:rPr>
        <w:t>: Apresentação do conjunto de alternativas possíveis, obtidas a partir das consultas, para a modernização dos instrumentos de gestão, do arranjo institucional e dos procedimentos metodológicos a serem utilizados na implantação da nova Lei Gaúcha das Águas.</w:t>
      </w:r>
    </w:p>
    <w:p w14:paraId="477D8942" w14:textId="77777777" w:rsidR="00EC2E6F" w:rsidRDefault="00EC2E6F" w:rsidP="00EC2E6F">
      <w:pPr>
        <w:jc w:val="both"/>
        <w:rPr>
          <w:lang w:eastAsia="x-none"/>
        </w:rPr>
      </w:pPr>
    </w:p>
    <w:p w14:paraId="36078CDB" w14:textId="77777777" w:rsidR="00EC2E6F" w:rsidRDefault="00EC2E6F" w:rsidP="00EC2E6F">
      <w:pPr>
        <w:jc w:val="both"/>
        <w:rPr>
          <w:lang w:eastAsia="x-none"/>
        </w:rPr>
      </w:pPr>
    </w:p>
    <w:p w14:paraId="5AB38C44" w14:textId="77777777" w:rsidR="00EC2E6F" w:rsidRPr="00513C97" w:rsidRDefault="00EC2E6F" w:rsidP="00EC2E6F">
      <w:pPr>
        <w:jc w:val="both"/>
        <w:rPr>
          <w:b/>
          <w:lang w:eastAsia="x-none"/>
        </w:rPr>
      </w:pPr>
      <w:r w:rsidRPr="00513C97">
        <w:rPr>
          <w:b/>
          <w:lang w:eastAsia="x-none"/>
        </w:rPr>
        <w:t xml:space="preserve">Etapa 3 – </w:t>
      </w:r>
      <w:r>
        <w:rPr>
          <w:b/>
          <w:lang w:eastAsia="x-none"/>
        </w:rPr>
        <w:t>A</w:t>
      </w:r>
      <w:r w:rsidRPr="00513C97">
        <w:rPr>
          <w:b/>
          <w:lang w:eastAsia="x-none"/>
        </w:rPr>
        <w:t>nteprojeto de lei</w:t>
      </w:r>
    </w:p>
    <w:p w14:paraId="3518FD52" w14:textId="77777777" w:rsidR="00EC2E6F" w:rsidRDefault="00EC2E6F" w:rsidP="00EC2E6F">
      <w:pPr>
        <w:jc w:val="both"/>
        <w:rPr>
          <w:lang w:eastAsia="x-none"/>
        </w:rPr>
      </w:pPr>
    </w:p>
    <w:p w14:paraId="1ABB0CDB" w14:textId="77777777" w:rsidR="00EC2E6F" w:rsidRDefault="00EC2E6F" w:rsidP="00EC2E6F">
      <w:pPr>
        <w:jc w:val="both"/>
        <w:rPr>
          <w:lang w:eastAsia="x-none"/>
        </w:rPr>
      </w:pPr>
      <w:r>
        <w:rPr>
          <w:lang w:eastAsia="x-none"/>
        </w:rPr>
        <w:t xml:space="preserve">Após a sistematização de todos os trabalhos e propostas ocorridas até este ponto, será elaborada a minuta do texto legal necessário, que irá incorporar as sugestões e decisões consensuais. </w:t>
      </w:r>
    </w:p>
    <w:p w14:paraId="14E8EDC6" w14:textId="77777777" w:rsidR="00EC2E6F" w:rsidRDefault="00EC2E6F" w:rsidP="00EC2E6F">
      <w:pPr>
        <w:jc w:val="both"/>
        <w:rPr>
          <w:lang w:eastAsia="x-none"/>
        </w:rPr>
      </w:pPr>
    </w:p>
    <w:p w14:paraId="46F691F5" w14:textId="77777777" w:rsidR="00EC2E6F" w:rsidRDefault="00EC2E6F" w:rsidP="00EC2E6F">
      <w:pPr>
        <w:jc w:val="both"/>
        <w:rPr>
          <w:lang w:eastAsia="x-none"/>
        </w:rPr>
      </w:pPr>
      <w:r w:rsidRPr="00B17184">
        <w:rPr>
          <w:b/>
          <w:lang w:eastAsia="x-none"/>
        </w:rPr>
        <w:t>Produto 3</w:t>
      </w:r>
      <w:r>
        <w:rPr>
          <w:lang w:eastAsia="x-none"/>
        </w:rPr>
        <w:t>: Anteprojeto de Lei</w:t>
      </w:r>
    </w:p>
    <w:p w14:paraId="7C4A335A" w14:textId="77777777" w:rsidR="00EC2E6F" w:rsidRDefault="00EC2E6F" w:rsidP="00EC2E6F">
      <w:pPr>
        <w:jc w:val="both"/>
        <w:rPr>
          <w:lang w:eastAsia="x-none"/>
        </w:rPr>
      </w:pPr>
    </w:p>
    <w:p w14:paraId="45A0EB3F" w14:textId="77777777" w:rsidR="00EC2E6F" w:rsidRPr="001C5D65" w:rsidRDefault="00EC2E6F" w:rsidP="00EC2E6F">
      <w:pPr>
        <w:pStyle w:val="CitaoIntensa"/>
        <w:ind w:left="0"/>
        <w:jc w:val="center"/>
        <w:rPr>
          <w:color w:val="000000"/>
          <w:lang w:val="pt-BR"/>
        </w:rPr>
      </w:pPr>
      <w:r>
        <w:rPr>
          <w:color w:val="000000"/>
          <w:lang w:val="pt-BR"/>
        </w:rPr>
        <w:t>6. DIRETRIZES METODOLÓGICAS</w:t>
      </w:r>
    </w:p>
    <w:p w14:paraId="496DAAED" w14:textId="77777777" w:rsidR="00EC2E6F" w:rsidRDefault="00EC2E6F" w:rsidP="00EC2E6F">
      <w:pPr>
        <w:jc w:val="both"/>
        <w:rPr>
          <w:lang w:eastAsia="x-none"/>
        </w:rPr>
      </w:pPr>
    </w:p>
    <w:p w14:paraId="0F43142D" w14:textId="48FB5F4D" w:rsidR="00EC2E6F" w:rsidRDefault="00EC2E6F" w:rsidP="00EC2E6F">
      <w:pPr>
        <w:jc w:val="both"/>
      </w:pPr>
      <w:r>
        <w:t>O desenvolvimento dos trabalhos será orientado pelas diretrizes metodológicas que seguem</w:t>
      </w:r>
      <w:r w:rsidR="00435E89">
        <w:t>.</w:t>
      </w:r>
    </w:p>
    <w:p w14:paraId="1B69C02B" w14:textId="77777777" w:rsidR="00EC2E6F" w:rsidRDefault="00EC2E6F" w:rsidP="00EC2E6F">
      <w:pPr>
        <w:jc w:val="both"/>
      </w:pPr>
    </w:p>
    <w:p w14:paraId="42FDDF7A" w14:textId="77777777" w:rsidR="00EC2E6F" w:rsidRDefault="00EC2E6F" w:rsidP="00EC2E6F">
      <w:pPr>
        <w:jc w:val="both"/>
        <w:rPr>
          <w:b/>
        </w:rPr>
      </w:pPr>
      <w:r>
        <w:t xml:space="preserve">1. </w:t>
      </w:r>
      <w:r>
        <w:rPr>
          <w:b/>
        </w:rPr>
        <w:t>A</w:t>
      </w:r>
      <w:r w:rsidRPr="00860B09">
        <w:rPr>
          <w:b/>
        </w:rPr>
        <w:t>nálise crítica</w:t>
      </w:r>
    </w:p>
    <w:p w14:paraId="20732B75" w14:textId="77777777" w:rsidR="00EC2E6F" w:rsidRDefault="00EC2E6F" w:rsidP="00EC2E6F">
      <w:pPr>
        <w:jc w:val="both"/>
      </w:pPr>
    </w:p>
    <w:p w14:paraId="7D56DCB3" w14:textId="77777777" w:rsidR="00EC2E6F" w:rsidRDefault="00EC2E6F" w:rsidP="00EC2E6F">
      <w:pPr>
        <w:jc w:val="both"/>
      </w:pPr>
      <w:r>
        <w:t>- Dos textos, artigos e publicações consideradas relevantes sobre a implantação dos instrumentos de gestão produzidos depois da Lei 10.350/94;</w:t>
      </w:r>
    </w:p>
    <w:p w14:paraId="085DBDE2" w14:textId="77777777" w:rsidR="00EC2E6F" w:rsidRDefault="00EC2E6F" w:rsidP="00EC2E6F">
      <w:pPr>
        <w:jc w:val="both"/>
      </w:pPr>
      <w:r>
        <w:t>- Dos projetos de Lei encaminhados à Assembleia Legislativas, aprovados ou em análise, modificando artigos da Lei 10.350/94;</w:t>
      </w:r>
    </w:p>
    <w:p w14:paraId="0F4A4E83" w14:textId="77777777" w:rsidR="00EC2E6F" w:rsidRDefault="00EC2E6F" w:rsidP="00EC2E6F">
      <w:pPr>
        <w:jc w:val="both"/>
      </w:pPr>
      <w:r>
        <w:lastRenderedPageBreak/>
        <w:t>- Das resoluções do Conselho Nacional de Recursos Hídricos que possam influenciar a gestão de recursos hídricos no RS;</w:t>
      </w:r>
    </w:p>
    <w:p w14:paraId="30B2AF0A" w14:textId="77777777" w:rsidR="00EC2E6F" w:rsidRDefault="00EC2E6F" w:rsidP="00EC2E6F">
      <w:pPr>
        <w:jc w:val="both"/>
      </w:pPr>
      <w:r>
        <w:t>- Das resoluções do Conselho Estadual de Recursos Hídricos que tenham regulamentado a 10.350/94;</w:t>
      </w:r>
    </w:p>
    <w:p w14:paraId="51F1D5FE" w14:textId="77777777" w:rsidR="00EC2E6F" w:rsidRDefault="00EC2E6F" w:rsidP="00EC2E6F">
      <w:pPr>
        <w:jc w:val="both"/>
      </w:pPr>
      <w:r>
        <w:t>- Das experiências quanto à implantação dos sistemas estaduais de gestão.</w:t>
      </w:r>
    </w:p>
    <w:p w14:paraId="591F75AD" w14:textId="54F1E284" w:rsidR="00EC2E6F" w:rsidRDefault="00EC2E6F" w:rsidP="00EC2E6F">
      <w:pPr>
        <w:jc w:val="both"/>
        <w:rPr>
          <w:b/>
        </w:rPr>
      </w:pPr>
      <w:r>
        <w:t>2.</w:t>
      </w:r>
      <w:r w:rsidRPr="00860B09">
        <w:rPr>
          <w:b/>
        </w:rPr>
        <w:t>Consultas dirigidas</w:t>
      </w:r>
      <w:r>
        <w:rPr>
          <w:b/>
        </w:rPr>
        <w:t xml:space="preserve"> </w:t>
      </w:r>
      <w:r w:rsidR="00435E89">
        <w:rPr>
          <w:b/>
        </w:rPr>
        <w:t xml:space="preserve">a </w:t>
      </w:r>
      <w:r>
        <w:rPr>
          <w:b/>
        </w:rPr>
        <w:t xml:space="preserve">grupos sociais </w:t>
      </w:r>
      <w:r w:rsidR="00435E89">
        <w:rPr>
          <w:b/>
        </w:rPr>
        <w:t xml:space="preserve">diretamente vinculados ao Sistema de Gestão </w:t>
      </w:r>
      <w:r>
        <w:rPr>
          <w:b/>
        </w:rPr>
        <w:t>e pessoas físicas</w:t>
      </w:r>
      <w:r w:rsidR="00435E89">
        <w:rPr>
          <w:b/>
        </w:rPr>
        <w:t xml:space="preserve"> com expertise no tema.</w:t>
      </w:r>
    </w:p>
    <w:p w14:paraId="26F26523" w14:textId="77777777" w:rsidR="00EC2E6F" w:rsidRDefault="00EC2E6F" w:rsidP="00EC2E6F">
      <w:pPr>
        <w:jc w:val="both"/>
        <w:rPr>
          <w:b/>
        </w:rPr>
      </w:pPr>
    </w:p>
    <w:p w14:paraId="3C1EA9C9" w14:textId="6F6D71BE" w:rsidR="00EC2E6F" w:rsidRDefault="00EC2E6F" w:rsidP="00EC2E6F">
      <w:pPr>
        <w:jc w:val="both"/>
      </w:pPr>
      <w:r>
        <w:t xml:space="preserve"> - Aos Comitês gaúchos</w:t>
      </w:r>
      <w:r w:rsidR="00435E89">
        <w:t>.</w:t>
      </w:r>
    </w:p>
    <w:p w14:paraId="4AA44403" w14:textId="5A66016B" w:rsidR="00435E89" w:rsidRDefault="00435E89" w:rsidP="00EC2E6F">
      <w:pPr>
        <w:jc w:val="both"/>
      </w:pPr>
      <w:r>
        <w:t>- Aos representantes do Executivo Estadual.</w:t>
      </w:r>
    </w:p>
    <w:p w14:paraId="7F645517" w14:textId="36D377CF" w:rsidR="00EC2E6F" w:rsidRDefault="00EC2E6F" w:rsidP="00EC2E6F">
      <w:pPr>
        <w:jc w:val="both"/>
      </w:pPr>
      <w:r>
        <w:t xml:space="preserve"> - Às Universidades</w:t>
      </w:r>
      <w:r w:rsidR="00435E89">
        <w:t xml:space="preserve"> que participam do Sistema de Gestão.</w:t>
      </w:r>
    </w:p>
    <w:p w14:paraId="472141BA" w14:textId="6EE68D5B" w:rsidR="00EC2E6F" w:rsidRDefault="00EC2E6F" w:rsidP="00EC2E6F">
      <w:pPr>
        <w:jc w:val="both"/>
      </w:pPr>
      <w:r>
        <w:t xml:space="preserve"> -</w:t>
      </w:r>
      <w:r w:rsidR="00F33581">
        <w:t xml:space="preserve"> </w:t>
      </w:r>
      <w:r>
        <w:t>Às Organizações Sociais Setoriais da agricultura, da energia, da indústria, dos municípios</w:t>
      </w:r>
      <w:r w:rsidR="00435E89">
        <w:t>.</w:t>
      </w:r>
    </w:p>
    <w:p w14:paraId="61E34579" w14:textId="2FC23E71" w:rsidR="00EC2E6F" w:rsidRDefault="00EC2E6F" w:rsidP="00EC2E6F">
      <w:pPr>
        <w:jc w:val="both"/>
      </w:pPr>
      <w:r>
        <w:t xml:space="preserve"> - Aos órgãos e entidades responsáveis pelo abastecimento público (CORSAN e ASSEMAE)</w:t>
      </w:r>
      <w:r w:rsidR="00435E89">
        <w:t>.</w:t>
      </w:r>
    </w:p>
    <w:p w14:paraId="66ED290B" w14:textId="7D6BD711" w:rsidR="00EC2E6F" w:rsidRDefault="00EC2E6F" w:rsidP="00EC2E6F">
      <w:pPr>
        <w:jc w:val="both"/>
      </w:pPr>
      <w:r>
        <w:t xml:space="preserve"> - Às entidades de profissionais do setor.</w:t>
      </w:r>
    </w:p>
    <w:p w14:paraId="2D269EEA" w14:textId="0B15640E" w:rsidR="00435E89" w:rsidRDefault="00435E89" w:rsidP="00EC2E6F">
      <w:pPr>
        <w:jc w:val="both"/>
      </w:pPr>
      <w:r>
        <w:t>- Às ONGs que participam do Sistema de Gestão.</w:t>
      </w:r>
    </w:p>
    <w:p w14:paraId="164C25D4" w14:textId="4AB784BB" w:rsidR="00EC2E6F" w:rsidRDefault="00EC2E6F" w:rsidP="00EC2E6F">
      <w:pPr>
        <w:jc w:val="both"/>
      </w:pPr>
      <w:r>
        <w:t>- Ao Ministério Público Estadual (CAOMA)</w:t>
      </w:r>
      <w:r w:rsidR="00435E89">
        <w:t>.</w:t>
      </w:r>
    </w:p>
    <w:p w14:paraId="0253F808" w14:textId="77777777" w:rsidR="00EC2E6F" w:rsidRDefault="00EC2E6F" w:rsidP="00EC2E6F">
      <w:pPr>
        <w:jc w:val="both"/>
      </w:pPr>
      <w:r>
        <w:t>- À Comissão de Saúde e Meio Ambiente da Assembleia do Estado.</w:t>
      </w:r>
    </w:p>
    <w:p w14:paraId="6A5EFF5B" w14:textId="77777777" w:rsidR="00EC2E6F" w:rsidRDefault="00EC2E6F" w:rsidP="00EC2E6F">
      <w:pPr>
        <w:jc w:val="both"/>
      </w:pPr>
    </w:p>
    <w:p w14:paraId="59772598" w14:textId="77777777" w:rsidR="00EC2E6F" w:rsidRDefault="00EC2E6F" w:rsidP="00EC2E6F">
      <w:pPr>
        <w:jc w:val="both"/>
      </w:pPr>
      <w:r>
        <w:t xml:space="preserve">Ainda serão convidados a opinar, profissionais com </w:t>
      </w:r>
      <w:r w:rsidRPr="00DD2948">
        <w:rPr>
          <w:i/>
          <w:iCs/>
        </w:rPr>
        <w:t>expertise</w:t>
      </w:r>
      <w:r>
        <w:t xml:space="preserve"> em gestão de recursos hídricos no Brasil.</w:t>
      </w:r>
    </w:p>
    <w:p w14:paraId="4AEA1967" w14:textId="77777777" w:rsidR="00EC2E6F" w:rsidRDefault="00EC2E6F" w:rsidP="00EC2E6F">
      <w:pPr>
        <w:jc w:val="both"/>
      </w:pPr>
    </w:p>
    <w:p w14:paraId="11DD4E73" w14:textId="71441A46" w:rsidR="00EC2E6F" w:rsidRDefault="00EC2E6F" w:rsidP="00EC2E6F">
      <w:pPr>
        <w:jc w:val="both"/>
      </w:pPr>
      <w:r w:rsidRPr="00EA5B86">
        <w:rPr>
          <w:b/>
          <w:bCs/>
        </w:rPr>
        <w:t>Observação 01</w:t>
      </w:r>
      <w:r>
        <w:t xml:space="preserve">: para cada grupo de entidades e de pessoas físicas, será era elaborado um relatório síntese da </w:t>
      </w:r>
      <w:r w:rsidR="00435E89">
        <w:t>Oficina</w:t>
      </w:r>
      <w:r>
        <w:t>.</w:t>
      </w:r>
    </w:p>
    <w:p w14:paraId="046F01C5" w14:textId="79C2AFDB" w:rsidR="00EC2E6F" w:rsidRDefault="00EC2E6F" w:rsidP="00EC2E6F">
      <w:pPr>
        <w:jc w:val="both"/>
      </w:pPr>
      <w:r w:rsidRPr="00C42FD7">
        <w:rPr>
          <w:b/>
          <w:bCs/>
        </w:rPr>
        <w:t>Observação 02</w:t>
      </w:r>
      <w:r>
        <w:t xml:space="preserve">: as </w:t>
      </w:r>
      <w:r w:rsidR="00435E89">
        <w:t>Oficinas serão virtuais</w:t>
      </w:r>
      <w:r>
        <w:t>.</w:t>
      </w:r>
    </w:p>
    <w:p w14:paraId="31A38842" w14:textId="77777777" w:rsidR="00EC2E6F" w:rsidRDefault="00EC2E6F" w:rsidP="00EC2E6F">
      <w:pPr>
        <w:jc w:val="both"/>
      </w:pPr>
    </w:p>
    <w:p w14:paraId="30F7DA7B" w14:textId="77777777" w:rsidR="00EC2E6F" w:rsidRDefault="00EC2E6F" w:rsidP="00EC2E6F">
      <w:pPr>
        <w:jc w:val="both"/>
      </w:pPr>
    </w:p>
    <w:p w14:paraId="2F8562C6" w14:textId="77777777" w:rsidR="00EC2E6F" w:rsidRDefault="00EC2E6F" w:rsidP="00EC2E6F">
      <w:pPr>
        <w:spacing w:after="160" w:line="259" w:lineRule="auto"/>
      </w:pPr>
      <w:r>
        <w:br w:type="page"/>
      </w:r>
    </w:p>
    <w:p w14:paraId="2B2B0159" w14:textId="77777777" w:rsidR="00EC2E6F" w:rsidRDefault="00EC2E6F" w:rsidP="00EC2E6F">
      <w:pPr>
        <w:jc w:val="both"/>
      </w:pPr>
    </w:p>
    <w:p w14:paraId="2BDF8EBF" w14:textId="77777777" w:rsidR="00EC2E6F" w:rsidRPr="00164A10" w:rsidRDefault="00EC2E6F" w:rsidP="00EC2E6F">
      <w:pPr>
        <w:jc w:val="center"/>
      </w:pPr>
      <w:r w:rsidRPr="00164A10">
        <w:rPr>
          <w:b/>
          <w:bCs/>
        </w:rPr>
        <w:t>ANEXO 01</w:t>
      </w:r>
    </w:p>
    <w:p w14:paraId="3A73FFF1" w14:textId="77777777" w:rsidR="00EC2E6F" w:rsidRDefault="00EC2E6F" w:rsidP="00EC2E6F">
      <w:pPr>
        <w:jc w:val="center"/>
      </w:pPr>
    </w:p>
    <w:p w14:paraId="0F2E9021" w14:textId="77777777" w:rsidR="00EC2E6F" w:rsidRDefault="00EC2E6F" w:rsidP="00EC2E6F">
      <w:pPr>
        <w:jc w:val="both"/>
      </w:pPr>
    </w:p>
    <w:p w14:paraId="085BF1B9" w14:textId="5B356425" w:rsidR="00EC2E6F" w:rsidRDefault="00EC2E6F" w:rsidP="00EC2E6F">
      <w:pPr>
        <w:jc w:val="center"/>
      </w:pPr>
      <w:r w:rsidRPr="000735D9">
        <w:rPr>
          <w:b/>
          <w:bCs/>
        </w:rPr>
        <w:t xml:space="preserve">Cronograma </w:t>
      </w:r>
      <w:r w:rsidR="00435E89">
        <w:rPr>
          <w:b/>
          <w:bCs/>
        </w:rPr>
        <w:t>Geral</w:t>
      </w:r>
    </w:p>
    <w:p w14:paraId="4A54EE5E" w14:textId="77777777" w:rsidR="00EC2E6F" w:rsidRDefault="00EC2E6F" w:rsidP="00EC2E6F">
      <w:pPr>
        <w:jc w:val="both"/>
      </w:pPr>
    </w:p>
    <w:p w14:paraId="0A0C0759" w14:textId="77777777" w:rsidR="007B127F" w:rsidRDefault="007B127F" w:rsidP="007B127F">
      <w:pPr>
        <w:jc w:val="both"/>
      </w:pPr>
      <w:r>
        <w:rPr>
          <w:b/>
          <w:bCs/>
        </w:rPr>
        <w:t xml:space="preserve">Em </w:t>
      </w:r>
      <w:r w:rsidRPr="008F3B06">
        <w:rPr>
          <w:b/>
          <w:bCs/>
        </w:rPr>
        <w:t>outubro</w:t>
      </w:r>
      <w:r>
        <w:t xml:space="preserve"> – Pactuação Interna na SEMA.</w:t>
      </w:r>
    </w:p>
    <w:p w14:paraId="0A829E41" w14:textId="77777777" w:rsidR="007B127F" w:rsidRDefault="007B127F" w:rsidP="007B127F">
      <w:pPr>
        <w:jc w:val="both"/>
      </w:pPr>
      <w:r>
        <w:rPr>
          <w:b/>
          <w:bCs/>
        </w:rPr>
        <w:t>Em</w:t>
      </w:r>
      <w:r w:rsidRPr="00C6563A">
        <w:rPr>
          <w:b/>
          <w:bCs/>
        </w:rPr>
        <w:t xml:space="preserve"> 11 de novembro</w:t>
      </w:r>
      <w:r>
        <w:t xml:space="preserve"> – Apresentação da proposta inicial ao plenário do CRH.</w:t>
      </w:r>
    </w:p>
    <w:p w14:paraId="4FFDCA93" w14:textId="77777777" w:rsidR="007B127F" w:rsidRDefault="007B127F" w:rsidP="007B127F">
      <w:pPr>
        <w:jc w:val="both"/>
      </w:pPr>
      <w:r>
        <w:rPr>
          <w:b/>
          <w:bCs/>
        </w:rPr>
        <w:t xml:space="preserve">Em </w:t>
      </w:r>
      <w:r w:rsidRPr="008F3B06">
        <w:rPr>
          <w:b/>
          <w:bCs/>
        </w:rPr>
        <w:t>30 de novembro</w:t>
      </w:r>
      <w:r>
        <w:t xml:space="preserve"> – Entrega do produto 01 – Plano de Trabalho consolidado institucionalmente (pactuado com o CRH).</w:t>
      </w:r>
    </w:p>
    <w:p w14:paraId="565154A0" w14:textId="717F08DD" w:rsidR="007B127F" w:rsidRDefault="007B127F" w:rsidP="007B127F">
      <w:pPr>
        <w:jc w:val="both"/>
      </w:pPr>
      <w:r>
        <w:rPr>
          <w:b/>
          <w:bCs/>
        </w:rPr>
        <w:t xml:space="preserve">Em </w:t>
      </w:r>
      <w:r w:rsidR="00D12AE6">
        <w:rPr>
          <w:b/>
          <w:bCs/>
        </w:rPr>
        <w:t>março</w:t>
      </w:r>
      <w:r>
        <w:rPr>
          <w:b/>
          <w:bCs/>
        </w:rPr>
        <w:t xml:space="preserve"> de 2021</w:t>
      </w:r>
      <w:r>
        <w:t xml:space="preserve"> – Realização das Oficinas com os grupos de atores e convidados</w:t>
      </w:r>
    </w:p>
    <w:p w14:paraId="09285532" w14:textId="7588FE3D" w:rsidR="007B127F" w:rsidRDefault="007B127F" w:rsidP="007B127F">
      <w:pPr>
        <w:jc w:val="both"/>
      </w:pPr>
      <w:r>
        <w:rPr>
          <w:b/>
          <w:bCs/>
        </w:rPr>
        <w:t>Em</w:t>
      </w:r>
      <w:r w:rsidRPr="008F3B06">
        <w:rPr>
          <w:b/>
          <w:bCs/>
        </w:rPr>
        <w:t xml:space="preserve"> </w:t>
      </w:r>
      <w:r w:rsidR="00D12AE6">
        <w:rPr>
          <w:b/>
          <w:bCs/>
        </w:rPr>
        <w:t>abril</w:t>
      </w:r>
      <w:r>
        <w:t xml:space="preserve"> – Consolidação das Consultas.</w:t>
      </w:r>
    </w:p>
    <w:p w14:paraId="6B59152F" w14:textId="77777777" w:rsidR="007B127F" w:rsidRDefault="007B127F" w:rsidP="007B127F">
      <w:pPr>
        <w:jc w:val="both"/>
      </w:pPr>
    </w:p>
    <w:p w14:paraId="538EAADA" w14:textId="77777777" w:rsidR="007B127F" w:rsidRDefault="007B127F" w:rsidP="007B127F">
      <w:pPr>
        <w:jc w:val="both"/>
      </w:pPr>
      <w:r>
        <w:t>Em paralelo</w:t>
      </w:r>
    </w:p>
    <w:p w14:paraId="233D53ED" w14:textId="23CA3A5D" w:rsidR="007B127F" w:rsidRDefault="007B127F" w:rsidP="007B127F">
      <w:pPr>
        <w:jc w:val="both"/>
      </w:pPr>
      <w:r>
        <w:rPr>
          <w:b/>
          <w:bCs/>
        </w:rPr>
        <w:t xml:space="preserve">Em </w:t>
      </w:r>
      <w:r w:rsidR="00D12AE6">
        <w:rPr>
          <w:b/>
          <w:bCs/>
        </w:rPr>
        <w:t>abril</w:t>
      </w:r>
      <w:r>
        <w:t xml:space="preserve"> – Diagnósticos elaborados.</w:t>
      </w:r>
    </w:p>
    <w:p w14:paraId="02C95FB4" w14:textId="72BA25A3" w:rsidR="007B127F" w:rsidRDefault="007B127F" w:rsidP="007B127F">
      <w:pPr>
        <w:jc w:val="both"/>
      </w:pPr>
      <w:r>
        <w:rPr>
          <w:b/>
          <w:bCs/>
        </w:rPr>
        <w:t>Em</w:t>
      </w:r>
      <w:r w:rsidRPr="008F3B06">
        <w:rPr>
          <w:b/>
          <w:bCs/>
        </w:rPr>
        <w:t xml:space="preserve"> </w:t>
      </w:r>
      <w:r w:rsidR="00D12AE6">
        <w:rPr>
          <w:b/>
          <w:bCs/>
        </w:rPr>
        <w:t>maio</w:t>
      </w:r>
      <w:r>
        <w:t xml:space="preserve"> – Análise conjunta do Diagnóstico e das Oficinas.</w:t>
      </w:r>
    </w:p>
    <w:p w14:paraId="02691D23" w14:textId="48B7F3F1" w:rsidR="007B127F" w:rsidRDefault="007B127F" w:rsidP="007B127F">
      <w:pPr>
        <w:jc w:val="both"/>
      </w:pPr>
      <w:r>
        <w:rPr>
          <w:b/>
          <w:bCs/>
        </w:rPr>
        <w:t>Em</w:t>
      </w:r>
      <w:r w:rsidRPr="008F3B06">
        <w:rPr>
          <w:b/>
          <w:bCs/>
        </w:rPr>
        <w:t xml:space="preserve"> </w:t>
      </w:r>
      <w:r w:rsidR="00D12AE6">
        <w:rPr>
          <w:b/>
          <w:bCs/>
        </w:rPr>
        <w:t>junho</w:t>
      </w:r>
      <w:r>
        <w:t xml:space="preserve"> – Ante projeto de Lei</w:t>
      </w:r>
    </w:p>
    <w:p w14:paraId="158F89A8" w14:textId="73140321" w:rsidR="007B127F" w:rsidRPr="000735D9" w:rsidRDefault="007B127F" w:rsidP="007B127F">
      <w:pPr>
        <w:jc w:val="both"/>
      </w:pPr>
      <w:r>
        <w:rPr>
          <w:b/>
          <w:bCs/>
        </w:rPr>
        <w:t>Em ju</w:t>
      </w:r>
      <w:r w:rsidR="00D12AE6">
        <w:rPr>
          <w:b/>
          <w:bCs/>
        </w:rPr>
        <w:t>l</w:t>
      </w:r>
      <w:r>
        <w:rPr>
          <w:b/>
          <w:bCs/>
        </w:rPr>
        <w:t>ho</w:t>
      </w:r>
      <w:r>
        <w:t xml:space="preserve"> – Pactuação final e encaminhamento à Assembleia.</w:t>
      </w:r>
    </w:p>
    <w:p w14:paraId="3EA0B683" w14:textId="77777777" w:rsidR="007B127F" w:rsidRDefault="007B127F" w:rsidP="007B127F"/>
    <w:p w14:paraId="7C84856A" w14:textId="23E8DCCC" w:rsidR="005A765E" w:rsidRDefault="005A765E">
      <w:pPr>
        <w:spacing w:after="160" w:line="259" w:lineRule="auto"/>
      </w:pPr>
      <w:r>
        <w:br w:type="page"/>
      </w:r>
    </w:p>
    <w:p w14:paraId="376B4AB0" w14:textId="77777777" w:rsidR="005A765E" w:rsidRDefault="005A765E"/>
    <w:p w14:paraId="39ED0922" w14:textId="59A5AAE3" w:rsidR="005A765E" w:rsidRPr="00164A10" w:rsidRDefault="005A765E" w:rsidP="005A765E">
      <w:pPr>
        <w:jc w:val="center"/>
        <w:rPr>
          <w:b/>
          <w:bCs/>
        </w:rPr>
      </w:pPr>
      <w:r w:rsidRPr="00164A10">
        <w:rPr>
          <w:b/>
          <w:bCs/>
        </w:rPr>
        <w:t>A</w:t>
      </w:r>
      <w:r w:rsidR="00164A10">
        <w:rPr>
          <w:b/>
          <w:bCs/>
        </w:rPr>
        <w:t>NEXO</w:t>
      </w:r>
      <w:r w:rsidRPr="00164A10">
        <w:rPr>
          <w:b/>
          <w:bCs/>
        </w:rPr>
        <w:t xml:space="preserve"> 02</w:t>
      </w:r>
    </w:p>
    <w:p w14:paraId="5584292E" w14:textId="4399A8FF" w:rsidR="005A765E" w:rsidRDefault="005A765E" w:rsidP="005A765E">
      <w:pPr>
        <w:jc w:val="center"/>
        <w:rPr>
          <w:b/>
          <w:bCs/>
        </w:rPr>
      </w:pPr>
    </w:p>
    <w:p w14:paraId="78F51301" w14:textId="6CE6FB6E" w:rsidR="00164A10" w:rsidRDefault="00164A10" w:rsidP="005A765E">
      <w:pPr>
        <w:jc w:val="center"/>
        <w:rPr>
          <w:b/>
          <w:bCs/>
        </w:rPr>
      </w:pPr>
    </w:p>
    <w:p w14:paraId="7448A4B7" w14:textId="77777777" w:rsidR="00164A10" w:rsidRPr="00164A10" w:rsidRDefault="00164A10" w:rsidP="00164A10"/>
    <w:p w14:paraId="4A2C9CA8" w14:textId="668B2EAA" w:rsidR="005A765E" w:rsidRPr="00CF3698" w:rsidRDefault="00164A10" w:rsidP="00164A10">
      <w:pPr>
        <w:jc w:val="center"/>
        <w:rPr>
          <w:b/>
          <w:bCs/>
        </w:rPr>
      </w:pPr>
      <w:r w:rsidRPr="00CF3698">
        <w:rPr>
          <w:b/>
          <w:bCs/>
        </w:rPr>
        <w:t xml:space="preserve">Calendário </w:t>
      </w:r>
      <w:r>
        <w:rPr>
          <w:b/>
          <w:bCs/>
        </w:rPr>
        <w:t>das</w:t>
      </w:r>
      <w:r w:rsidRPr="00CF3698">
        <w:rPr>
          <w:b/>
          <w:bCs/>
        </w:rPr>
        <w:t xml:space="preserve"> Oficinas</w:t>
      </w:r>
    </w:p>
    <w:p w14:paraId="2C82B5CB" w14:textId="048A2A58" w:rsidR="005A765E" w:rsidRDefault="005A765E" w:rsidP="005A765E"/>
    <w:p w14:paraId="43872BBD" w14:textId="77777777" w:rsidR="00164A10" w:rsidRPr="00CF3698" w:rsidRDefault="00164A10" w:rsidP="005A765E"/>
    <w:tbl>
      <w:tblPr>
        <w:tblStyle w:val="Tabelacomgrade"/>
        <w:tblW w:w="0" w:type="auto"/>
        <w:jc w:val="center"/>
        <w:tblLook w:val="04A0" w:firstRow="1" w:lastRow="0" w:firstColumn="1" w:lastColumn="0" w:noHBand="0" w:noVBand="1"/>
      </w:tblPr>
      <w:tblGrid>
        <w:gridCol w:w="1838"/>
        <w:gridCol w:w="1843"/>
        <w:gridCol w:w="4813"/>
      </w:tblGrid>
      <w:tr w:rsidR="007B127F" w:rsidRPr="00CF3698" w14:paraId="7F51C6B1" w14:textId="77777777" w:rsidTr="00B6395C">
        <w:trPr>
          <w:jc w:val="center"/>
        </w:trPr>
        <w:tc>
          <w:tcPr>
            <w:tcW w:w="1838" w:type="dxa"/>
          </w:tcPr>
          <w:p w14:paraId="57501BB4" w14:textId="77777777" w:rsidR="007B127F" w:rsidRPr="00164A10" w:rsidRDefault="007B127F" w:rsidP="00B6395C">
            <w:pPr>
              <w:jc w:val="center"/>
              <w:rPr>
                <w:b/>
                <w:bCs/>
              </w:rPr>
            </w:pPr>
            <w:r w:rsidRPr="00164A10">
              <w:rPr>
                <w:b/>
                <w:bCs/>
              </w:rPr>
              <w:t>DATA</w:t>
            </w:r>
          </w:p>
        </w:tc>
        <w:tc>
          <w:tcPr>
            <w:tcW w:w="1843" w:type="dxa"/>
          </w:tcPr>
          <w:p w14:paraId="37439B0A" w14:textId="77777777" w:rsidR="007B127F" w:rsidRPr="00164A10" w:rsidRDefault="007B127F" w:rsidP="00B6395C">
            <w:pPr>
              <w:jc w:val="center"/>
              <w:rPr>
                <w:b/>
                <w:bCs/>
              </w:rPr>
            </w:pPr>
            <w:r w:rsidRPr="00164A10">
              <w:rPr>
                <w:b/>
                <w:bCs/>
              </w:rPr>
              <w:t>HORÁRIO</w:t>
            </w:r>
          </w:p>
        </w:tc>
        <w:tc>
          <w:tcPr>
            <w:tcW w:w="4813" w:type="dxa"/>
          </w:tcPr>
          <w:p w14:paraId="379F8F86" w14:textId="77777777" w:rsidR="007B127F" w:rsidRPr="00164A10" w:rsidRDefault="007B127F" w:rsidP="00B6395C">
            <w:pPr>
              <w:jc w:val="center"/>
              <w:rPr>
                <w:b/>
                <w:bCs/>
              </w:rPr>
            </w:pPr>
            <w:r w:rsidRPr="00164A10">
              <w:rPr>
                <w:b/>
                <w:bCs/>
              </w:rPr>
              <w:t>GRUPO</w:t>
            </w:r>
          </w:p>
        </w:tc>
      </w:tr>
      <w:tr w:rsidR="007B127F" w:rsidRPr="00CF3698" w14:paraId="2A1FA10D" w14:textId="77777777" w:rsidTr="00B6395C">
        <w:trPr>
          <w:jc w:val="center"/>
        </w:trPr>
        <w:tc>
          <w:tcPr>
            <w:tcW w:w="1838" w:type="dxa"/>
          </w:tcPr>
          <w:p w14:paraId="7F406B49" w14:textId="7D2544B3" w:rsidR="007B127F" w:rsidRPr="00CF3698" w:rsidRDefault="007B127F" w:rsidP="00B6395C">
            <w:pPr>
              <w:jc w:val="center"/>
            </w:pPr>
            <w:bookmarkStart w:id="0" w:name="_GoBack" w:colFirst="0" w:colLast="2"/>
            <w:r w:rsidRPr="00CF3698">
              <w:t>0</w:t>
            </w:r>
            <w:r>
              <w:t>8</w:t>
            </w:r>
            <w:r w:rsidRPr="00CF3698">
              <w:t>/0</w:t>
            </w:r>
            <w:r w:rsidR="00F81617">
              <w:t>3</w:t>
            </w:r>
            <w:r w:rsidRPr="00CF3698">
              <w:t>/2021</w:t>
            </w:r>
          </w:p>
        </w:tc>
        <w:tc>
          <w:tcPr>
            <w:tcW w:w="1843" w:type="dxa"/>
          </w:tcPr>
          <w:p w14:paraId="6560BA71" w14:textId="77777777" w:rsidR="007B127F" w:rsidRPr="00CF3698" w:rsidRDefault="007B127F" w:rsidP="00B6395C">
            <w:pPr>
              <w:jc w:val="center"/>
            </w:pPr>
            <w:r w:rsidRPr="00CF3698">
              <w:t>9h – 11h</w:t>
            </w:r>
          </w:p>
        </w:tc>
        <w:tc>
          <w:tcPr>
            <w:tcW w:w="4813" w:type="dxa"/>
          </w:tcPr>
          <w:p w14:paraId="4ADD62AF" w14:textId="77777777" w:rsidR="007B127F" w:rsidRPr="00CF3698" w:rsidRDefault="007B127F" w:rsidP="00B6395C">
            <w:pPr>
              <w:jc w:val="center"/>
            </w:pPr>
            <w:r>
              <w:t xml:space="preserve">Órgãos do </w:t>
            </w:r>
            <w:r w:rsidRPr="00CF3698">
              <w:t>Governo</w:t>
            </w:r>
          </w:p>
        </w:tc>
      </w:tr>
      <w:tr w:rsidR="007B127F" w:rsidRPr="00CF3698" w14:paraId="4F8BB85A" w14:textId="77777777" w:rsidTr="00B6395C">
        <w:trPr>
          <w:jc w:val="center"/>
        </w:trPr>
        <w:tc>
          <w:tcPr>
            <w:tcW w:w="1838" w:type="dxa"/>
          </w:tcPr>
          <w:p w14:paraId="1A724285" w14:textId="63ABF04C" w:rsidR="007B127F" w:rsidRPr="00CF3698" w:rsidRDefault="007B127F" w:rsidP="00B6395C">
            <w:pPr>
              <w:jc w:val="center"/>
            </w:pPr>
            <w:r w:rsidRPr="00CF3698">
              <w:t>0</w:t>
            </w:r>
            <w:r>
              <w:t>9</w:t>
            </w:r>
            <w:r w:rsidRPr="00CF3698">
              <w:t>/0</w:t>
            </w:r>
            <w:r w:rsidR="00F81617">
              <w:t>3</w:t>
            </w:r>
          </w:p>
        </w:tc>
        <w:tc>
          <w:tcPr>
            <w:tcW w:w="1843" w:type="dxa"/>
          </w:tcPr>
          <w:p w14:paraId="2C6EB724" w14:textId="77777777" w:rsidR="007B127F" w:rsidRPr="00CF3698" w:rsidRDefault="007B127F" w:rsidP="00B6395C">
            <w:pPr>
              <w:jc w:val="center"/>
            </w:pPr>
            <w:r w:rsidRPr="00CF3698">
              <w:t>9h – 11h</w:t>
            </w:r>
          </w:p>
        </w:tc>
        <w:tc>
          <w:tcPr>
            <w:tcW w:w="4813" w:type="dxa"/>
          </w:tcPr>
          <w:p w14:paraId="2E74BD37" w14:textId="77777777" w:rsidR="007B127F" w:rsidRPr="00CF3698" w:rsidRDefault="007B127F" w:rsidP="00B6395C">
            <w:pPr>
              <w:jc w:val="center"/>
            </w:pPr>
            <w:r w:rsidRPr="00CF3698">
              <w:t xml:space="preserve">Organizações dos Municípios </w:t>
            </w:r>
          </w:p>
        </w:tc>
      </w:tr>
      <w:tr w:rsidR="007B127F" w:rsidRPr="00CF3698" w14:paraId="12422773" w14:textId="77777777" w:rsidTr="00B6395C">
        <w:trPr>
          <w:jc w:val="center"/>
        </w:trPr>
        <w:tc>
          <w:tcPr>
            <w:tcW w:w="1838" w:type="dxa"/>
          </w:tcPr>
          <w:p w14:paraId="3E2C3893" w14:textId="539BC7BA" w:rsidR="007B127F" w:rsidRPr="00CF3698" w:rsidRDefault="007B127F" w:rsidP="00B6395C">
            <w:pPr>
              <w:jc w:val="center"/>
            </w:pPr>
            <w:r w:rsidRPr="00CF3698">
              <w:t>11/0</w:t>
            </w:r>
            <w:r w:rsidR="00F81617">
              <w:t>3</w:t>
            </w:r>
          </w:p>
        </w:tc>
        <w:tc>
          <w:tcPr>
            <w:tcW w:w="1843" w:type="dxa"/>
          </w:tcPr>
          <w:p w14:paraId="41833E1D" w14:textId="77777777" w:rsidR="007B127F" w:rsidRPr="00CF3698" w:rsidRDefault="007B127F" w:rsidP="00B6395C">
            <w:pPr>
              <w:jc w:val="center"/>
            </w:pPr>
            <w:r w:rsidRPr="00CF3698">
              <w:t>9h – 11h</w:t>
            </w:r>
          </w:p>
        </w:tc>
        <w:tc>
          <w:tcPr>
            <w:tcW w:w="4813" w:type="dxa"/>
          </w:tcPr>
          <w:p w14:paraId="62F2A8CA" w14:textId="77777777" w:rsidR="007B127F" w:rsidRPr="00CF3698" w:rsidRDefault="007B127F" w:rsidP="00B6395C">
            <w:pPr>
              <w:jc w:val="center"/>
            </w:pPr>
            <w:r w:rsidRPr="00CF3698">
              <w:t>Organizações da Agricultura</w:t>
            </w:r>
          </w:p>
        </w:tc>
      </w:tr>
      <w:tr w:rsidR="007B127F" w:rsidRPr="00CF3698" w14:paraId="15A0C958" w14:textId="77777777" w:rsidTr="00B6395C">
        <w:trPr>
          <w:jc w:val="center"/>
        </w:trPr>
        <w:tc>
          <w:tcPr>
            <w:tcW w:w="1838" w:type="dxa"/>
          </w:tcPr>
          <w:p w14:paraId="0EF026FF" w14:textId="23F42931" w:rsidR="007B127F" w:rsidRPr="00CF3698" w:rsidRDefault="007B127F" w:rsidP="00B6395C">
            <w:pPr>
              <w:jc w:val="center"/>
            </w:pPr>
            <w:r w:rsidRPr="00CF3698">
              <w:t>11/0</w:t>
            </w:r>
            <w:r w:rsidR="00F81617">
              <w:t>3</w:t>
            </w:r>
          </w:p>
        </w:tc>
        <w:tc>
          <w:tcPr>
            <w:tcW w:w="1843" w:type="dxa"/>
          </w:tcPr>
          <w:p w14:paraId="2E14AB4D" w14:textId="77777777" w:rsidR="007B127F" w:rsidRPr="00CF3698" w:rsidRDefault="007B127F" w:rsidP="00B6395C">
            <w:pPr>
              <w:jc w:val="center"/>
            </w:pPr>
            <w:r w:rsidRPr="00CF3698">
              <w:t>14h – 16h</w:t>
            </w:r>
          </w:p>
        </w:tc>
        <w:tc>
          <w:tcPr>
            <w:tcW w:w="4813" w:type="dxa"/>
          </w:tcPr>
          <w:p w14:paraId="69FC7852" w14:textId="77777777" w:rsidR="007B127F" w:rsidRPr="00CF3698" w:rsidRDefault="007B127F" w:rsidP="00B6395C">
            <w:pPr>
              <w:jc w:val="center"/>
            </w:pPr>
            <w:r w:rsidRPr="00CF3698">
              <w:t>Organizações da Indústria e da Geração de Energia</w:t>
            </w:r>
          </w:p>
        </w:tc>
      </w:tr>
      <w:tr w:rsidR="007B127F" w:rsidRPr="00CF3698" w14:paraId="0DA538BE" w14:textId="77777777" w:rsidTr="00B6395C">
        <w:trPr>
          <w:jc w:val="center"/>
        </w:trPr>
        <w:tc>
          <w:tcPr>
            <w:tcW w:w="1838" w:type="dxa"/>
          </w:tcPr>
          <w:p w14:paraId="5458E97E" w14:textId="7F9E7E17" w:rsidR="007B127F" w:rsidRPr="00CF3698" w:rsidRDefault="007B127F" w:rsidP="00B6395C">
            <w:pPr>
              <w:jc w:val="center"/>
            </w:pPr>
            <w:r w:rsidRPr="00CF3698">
              <w:t>1</w:t>
            </w:r>
            <w:r>
              <w:t>2</w:t>
            </w:r>
            <w:r w:rsidRPr="00CF3698">
              <w:t>/0</w:t>
            </w:r>
            <w:r w:rsidR="00F81617">
              <w:t>3</w:t>
            </w:r>
          </w:p>
        </w:tc>
        <w:tc>
          <w:tcPr>
            <w:tcW w:w="1843" w:type="dxa"/>
          </w:tcPr>
          <w:p w14:paraId="72026D46" w14:textId="77777777" w:rsidR="007B127F" w:rsidRPr="00CF3698" w:rsidRDefault="007B127F" w:rsidP="00B6395C">
            <w:pPr>
              <w:jc w:val="center"/>
            </w:pPr>
            <w:r w:rsidRPr="00CF3698">
              <w:t>9h – 11h</w:t>
            </w:r>
          </w:p>
        </w:tc>
        <w:tc>
          <w:tcPr>
            <w:tcW w:w="4813" w:type="dxa"/>
          </w:tcPr>
          <w:p w14:paraId="622702D9" w14:textId="77777777" w:rsidR="007B127F" w:rsidRPr="00CF3698" w:rsidRDefault="007B127F" w:rsidP="00B6395C">
            <w:pPr>
              <w:jc w:val="center"/>
            </w:pPr>
            <w:r w:rsidRPr="00CF3698">
              <w:t>Abastecimento. Humano</w:t>
            </w:r>
          </w:p>
        </w:tc>
      </w:tr>
      <w:tr w:rsidR="007B127F" w:rsidRPr="00CF3698" w14:paraId="5172B90D" w14:textId="77777777" w:rsidTr="00B6395C">
        <w:trPr>
          <w:jc w:val="center"/>
        </w:trPr>
        <w:tc>
          <w:tcPr>
            <w:tcW w:w="1838" w:type="dxa"/>
          </w:tcPr>
          <w:p w14:paraId="167E98CF" w14:textId="04F1240F" w:rsidR="007B127F" w:rsidRPr="00CF3698" w:rsidRDefault="007B127F" w:rsidP="00B6395C">
            <w:pPr>
              <w:jc w:val="center"/>
            </w:pPr>
            <w:r w:rsidRPr="00CF3698">
              <w:t>1</w:t>
            </w:r>
            <w:r w:rsidR="00F81617">
              <w:t>5</w:t>
            </w:r>
            <w:r w:rsidRPr="00CF3698">
              <w:t>/0</w:t>
            </w:r>
            <w:r w:rsidR="00F81617">
              <w:t>3</w:t>
            </w:r>
          </w:p>
        </w:tc>
        <w:tc>
          <w:tcPr>
            <w:tcW w:w="1843" w:type="dxa"/>
          </w:tcPr>
          <w:p w14:paraId="11B8F121" w14:textId="77777777" w:rsidR="007B127F" w:rsidRPr="00CF3698" w:rsidRDefault="007B127F" w:rsidP="00B6395C">
            <w:pPr>
              <w:jc w:val="center"/>
            </w:pPr>
            <w:r w:rsidRPr="00CF3698">
              <w:t>14h – 16h</w:t>
            </w:r>
          </w:p>
        </w:tc>
        <w:tc>
          <w:tcPr>
            <w:tcW w:w="4813" w:type="dxa"/>
          </w:tcPr>
          <w:p w14:paraId="7F072DBD" w14:textId="77777777" w:rsidR="007B127F" w:rsidRPr="00CF3698" w:rsidRDefault="007B127F" w:rsidP="00B6395C">
            <w:pPr>
              <w:jc w:val="center"/>
            </w:pPr>
            <w:r w:rsidRPr="00CF3698">
              <w:t>Organizações Técnico-científicas</w:t>
            </w:r>
          </w:p>
        </w:tc>
      </w:tr>
      <w:tr w:rsidR="007B127F" w:rsidRPr="00CF3698" w14:paraId="7618EA44" w14:textId="77777777" w:rsidTr="00B6395C">
        <w:trPr>
          <w:jc w:val="center"/>
        </w:trPr>
        <w:tc>
          <w:tcPr>
            <w:tcW w:w="1838" w:type="dxa"/>
          </w:tcPr>
          <w:p w14:paraId="3931F845" w14:textId="6BC70B87" w:rsidR="007B127F" w:rsidRPr="00CF3698" w:rsidRDefault="007B127F" w:rsidP="00B6395C">
            <w:pPr>
              <w:jc w:val="center"/>
            </w:pPr>
            <w:r w:rsidRPr="00CF3698">
              <w:t>1</w:t>
            </w:r>
            <w:r w:rsidR="003608D5">
              <w:t>8</w:t>
            </w:r>
            <w:r w:rsidRPr="00CF3698">
              <w:t>/0</w:t>
            </w:r>
            <w:r w:rsidR="00F81617">
              <w:t>3</w:t>
            </w:r>
          </w:p>
        </w:tc>
        <w:tc>
          <w:tcPr>
            <w:tcW w:w="1843" w:type="dxa"/>
          </w:tcPr>
          <w:p w14:paraId="4D0E5305" w14:textId="77777777" w:rsidR="007B127F" w:rsidRPr="00CF3698" w:rsidRDefault="007B127F" w:rsidP="00B6395C">
            <w:pPr>
              <w:jc w:val="center"/>
            </w:pPr>
            <w:r w:rsidRPr="00CF3698">
              <w:t>9h – 11h</w:t>
            </w:r>
          </w:p>
        </w:tc>
        <w:tc>
          <w:tcPr>
            <w:tcW w:w="4813" w:type="dxa"/>
          </w:tcPr>
          <w:p w14:paraId="3993CC7F" w14:textId="77777777" w:rsidR="007B127F" w:rsidRPr="00CF3698" w:rsidRDefault="007B127F" w:rsidP="00B6395C">
            <w:pPr>
              <w:jc w:val="center"/>
            </w:pPr>
            <w:r w:rsidRPr="00CF3698">
              <w:t>MP/CAOMA</w:t>
            </w:r>
          </w:p>
        </w:tc>
      </w:tr>
      <w:tr w:rsidR="007B127F" w:rsidRPr="00CF3698" w14:paraId="643465A4" w14:textId="77777777" w:rsidTr="00B6395C">
        <w:trPr>
          <w:jc w:val="center"/>
        </w:trPr>
        <w:tc>
          <w:tcPr>
            <w:tcW w:w="1838" w:type="dxa"/>
          </w:tcPr>
          <w:p w14:paraId="34E03382" w14:textId="290FBA24" w:rsidR="007B127F" w:rsidRPr="00CF3698" w:rsidRDefault="007B127F" w:rsidP="003608D5">
            <w:pPr>
              <w:jc w:val="center"/>
            </w:pPr>
            <w:r w:rsidRPr="00CF3698">
              <w:t>1</w:t>
            </w:r>
            <w:r w:rsidR="003608D5">
              <w:t>8</w:t>
            </w:r>
            <w:r w:rsidRPr="00CF3698">
              <w:t>/0</w:t>
            </w:r>
            <w:r w:rsidR="00F81617">
              <w:t>3</w:t>
            </w:r>
          </w:p>
        </w:tc>
        <w:tc>
          <w:tcPr>
            <w:tcW w:w="1843" w:type="dxa"/>
          </w:tcPr>
          <w:p w14:paraId="1824BEFF" w14:textId="77777777" w:rsidR="007B127F" w:rsidRPr="00CF3698" w:rsidRDefault="007B127F" w:rsidP="00B6395C">
            <w:pPr>
              <w:jc w:val="center"/>
            </w:pPr>
            <w:r w:rsidRPr="00CF3698">
              <w:t>14h – 16h</w:t>
            </w:r>
          </w:p>
        </w:tc>
        <w:tc>
          <w:tcPr>
            <w:tcW w:w="4813" w:type="dxa"/>
          </w:tcPr>
          <w:p w14:paraId="54BFFC06" w14:textId="77777777" w:rsidR="007B127F" w:rsidRPr="00CF3698" w:rsidRDefault="007B127F" w:rsidP="00B6395C">
            <w:pPr>
              <w:jc w:val="center"/>
            </w:pPr>
            <w:r>
              <w:t>Universidades</w:t>
            </w:r>
          </w:p>
        </w:tc>
      </w:tr>
      <w:tr w:rsidR="007B127F" w:rsidRPr="00CF3698" w14:paraId="4F9C19FA" w14:textId="77777777" w:rsidTr="00B6395C">
        <w:trPr>
          <w:jc w:val="center"/>
        </w:trPr>
        <w:tc>
          <w:tcPr>
            <w:tcW w:w="1838" w:type="dxa"/>
          </w:tcPr>
          <w:p w14:paraId="492C4142" w14:textId="41CA25EB" w:rsidR="007B127F" w:rsidRPr="00CF3698" w:rsidRDefault="003608D5" w:rsidP="00B6395C">
            <w:pPr>
              <w:jc w:val="center"/>
            </w:pPr>
            <w:r>
              <w:t>19</w:t>
            </w:r>
            <w:r w:rsidR="007B127F" w:rsidRPr="00CF3698">
              <w:t>/0</w:t>
            </w:r>
            <w:r w:rsidR="00F81617">
              <w:t>3</w:t>
            </w:r>
          </w:p>
        </w:tc>
        <w:tc>
          <w:tcPr>
            <w:tcW w:w="1843" w:type="dxa"/>
          </w:tcPr>
          <w:p w14:paraId="41D06468" w14:textId="77777777" w:rsidR="007B127F" w:rsidRPr="00CF3698" w:rsidRDefault="007B127F" w:rsidP="00B6395C">
            <w:pPr>
              <w:jc w:val="center"/>
            </w:pPr>
            <w:r w:rsidRPr="00CF3698">
              <w:t>9h – 11h</w:t>
            </w:r>
          </w:p>
        </w:tc>
        <w:tc>
          <w:tcPr>
            <w:tcW w:w="4813" w:type="dxa"/>
          </w:tcPr>
          <w:p w14:paraId="72A8C50B" w14:textId="77777777" w:rsidR="007B127F" w:rsidRPr="00CF3698" w:rsidRDefault="007B127F" w:rsidP="00B6395C">
            <w:pPr>
              <w:jc w:val="center"/>
            </w:pPr>
            <w:r w:rsidRPr="00CF3698">
              <w:t>ONGs</w:t>
            </w:r>
          </w:p>
        </w:tc>
      </w:tr>
      <w:tr w:rsidR="007B127F" w:rsidRPr="00CF3698" w14:paraId="2B371AA1" w14:textId="77777777" w:rsidTr="00B6395C">
        <w:trPr>
          <w:jc w:val="center"/>
        </w:trPr>
        <w:tc>
          <w:tcPr>
            <w:tcW w:w="1838" w:type="dxa"/>
          </w:tcPr>
          <w:p w14:paraId="329D63B6" w14:textId="2441D5D9" w:rsidR="007B127F" w:rsidRPr="00CF3698" w:rsidRDefault="0061670D" w:rsidP="00AA7D08">
            <w:pPr>
              <w:jc w:val="center"/>
            </w:pPr>
            <w:r>
              <w:t>22</w:t>
            </w:r>
            <w:r w:rsidR="00AA7D08">
              <w:t>/03</w:t>
            </w:r>
          </w:p>
        </w:tc>
        <w:tc>
          <w:tcPr>
            <w:tcW w:w="1843" w:type="dxa"/>
          </w:tcPr>
          <w:p w14:paraId="5B07196D" w14:textId="77777777" w:rsidR="007B127F" w:rsidRPr="00CF3698" w:rsidRDefault="007B127F" w:rsidP="00B6395C">
            <w:pPr>
              <w:jc w:val="center"/>
            </w:pPr>
            <w:r>
              <w:t>9h – 11h</w:t>
            </w:r>
          </w:p>
        </w:tc>
        <w:tc>
          <w:tcPr>
            <w:tcW w:w="4813" w:type="dxa"/>
          </w:tcPr>
          <w:p w14:paraId="3A676269" w14:textId="77777777" w:rsidR="007B127F" w:rsidRPr="00CF3698" w:rsidRDefault="007B127F" w:rsidP="00B6395C">
            <w:pPr>
              <w:jc w:val="center"/>
            </w:pPr>
            <w:r w:rsidRPr="00CF3698">
              <w:t xml:space="preserve">Comitês </w:t>
            </w:r>
          </w:p>
        </w:tc>
      </w:tr>
      <w:tr w:rsidR="007B127F" w:rsidRPr="00CF3698" w14:paraId="59211B58" w14:textId="77777777" w:rsidTr="00B6395C">
        <w:trPr>
          <w:jc w:val="center"/>
        </w:trPr>
        <w:tc>
          <w:tcPr>
            <w:tcW w:w="1838" w:type="dxa"/>
          </w:tcPr>
          <w:p w14:paraId="7C056D13" w14:textId="77777777" w:rsidR="007B127F" w:rsidRPr="00CF3698" w:rsidRDefault="007B127F" w:rsidP="00B6395C">
            <w:pPr>
              <w:jc w:val="center"/>
            </w:pPr>
          </w:p>
        </w:tc>
        <w:tc>
          <w:tcPr>
            <w:tcW w:w="1843" w:type="dxa"/>
          </w:tcPr>
          <w:p w14:paraId="773662E4" w14:textId="77777777" w:rsidR="007B127F" w:rsidRPr="00CF3698" w:rsidRDefault="007B127F" w:rsidP="00B6395C">
            <w:pPr>
              <w:jc w:val="center"/>
            </w:pPr>
          </w:p>
        </w:tc>
        <w:tc>
          <w:tcPr>
            <w:tcW w:w="4813" w:type="dxa"/>
          </w:tcPr>
          <w:p w14:paraId="7C7CC1BB" w14:textId="77777777" w:rsidR="007B127F" w:rsidRPr="00CF3698" w:rsidRDefault="007B127F" w:rsidP="00B6395C">
            <w:pPr>
              <w:jc w:val="center"/>
            </w:pPr>
            <w:r w:rsidRPr="00CF3698">
              <w:t>Assembleia</w:t>
            </w:r>
          </w:p>
        </w:tc>
      </w:tr>
      <w:bookmarkEnd w:id="0"/>
    </w:tbl>
    <w:p w14:paraId="6622D4E9" w14:textId="77777777" w:rsidR="007B127F" w:rsidRPr="00CF3698" w:rsidRDefault="007B127F" w:rsidP="007B127F"/>
    <w:p w14:paraId="7ABEDC32" w14:textId="07FB11D9" w:rsidR="007B127F" w:rsidRDefault="007B127F">
      <w:pPr>
        <w:spacing w:after="160" w:line="259" w:lineRule="auto"/>
      </w:pPr>
      <w:r>
        <w:br w:type="page"/>
      </w:r>
    </w:p>
    <w:p w14:paraId="45E877AA" w14:textId="77777777" w:rsidR="005A765E" w:rsidRPr="00CF3698" w:rsidRDefault="005A765E" w:rsidP="005A765E"/>
    <w:p w14:paraId="014B1ABF" w14:textId="77777777" w:rsidR="007B127F" w:rsidRPr="007B127F" w:rsidRDefault="007B127F" w:rsidP="007B127F">
      <w:pPr>
        <w:jc w:val="center"/>
      </w:pPr>
      <w:r w:rsidRPr="007B127F">
        <w:rPr>
          <w:b/>
          <w:bCs/>
        </w:rPr>
        <w:t>ANEXO 03</w:t>
      </w:r>
    </w:p>
    <w:p w14:paraId="394DC3D0" w14:textId="77777777" w:rsidR="007B127F" w:rsidRPr="007B127F" w:rsidRDefault="007B127F" w:rsidP="007B127F">
      <w:pPr>
        <w:jc w:val="center"/>
      </w:pPr>
    </w:p>
    <w:p w14:paraId="68448863" w14:textId="77777777" w:rsidR="007B127F" w:rsidRPr="007B127F" w:rsidRDefault="007B127F" w:rsidP="007B127F">
      <w:pPr>
        <w:jc w:val="center"/>
      </w:pPr>
    </w:p>
    <w:p w14:paraId="2831254B" w14:textId="77777777" w:rsidR="007B127F" w:rsidRPr="007B127F" w:rsidRDefault="007B127F" w:rsidP="007B127F">
      <w:pPr>
        <w:jc w:val="center"/>
      </w:pPr>
      <w:r w:rsidRPr="007B127F">
        <w:rPr>
          <w:b/>
          <w:bCs/>
        </w:rPr>
        <w:t>Metodologia</w:t>
      </w:r>
    </w:p>
    <w:p w14:paraId="0070743C" w14:textId="77777777" w:rsidR="007B127F" w:rsidRPr="007B127F" w:rsidRDefault="007B127F" w:rsidP="007B127F">
      <w:pPr>
        <w:jc w:val="center"/>
      </w:pPr>
    </w:p>
    <w:p w14:paraId="7527C7EF" w14:textId="0CB59A6F" w:rsidR="007B127F" w:rsidRDefault="007B127F" w:rsidP="007B127F">
      <w:pPr>
        <w:jc w:val="center"/>
      </w:pPr>
    </w:p>
    <w:p w14:paraId="2DF25B6F" w14:textId="45AA7343" w:rsidR="0061670D" w:rsidRDefault="0061670D" w:rsidP="007B127F">
      <w:pPr>
        <w:jc w:val="center"/>
      </w:pPr>
    </w:p>
    <w:p w14:paraId="3714A52F" w14:textId="77777777" w:rsidR="0061670D" w:rsidRPr="007B127F" w:rsidRDefault="0061670D" w:rsidP="007B127F">
      <w:pPr>
        <w:jc w:val="center"/>
      </w:pPr>
    </w:p>
    <w:p w14:paraId="122E0720" w14:textId="77777777" w:rsidR="007B127F" w:rsidRPr="007B127F" w:rsidRDefault="007B127F" w:rsidP="007B127F">
      <w:pPr>
        <w:jc w:val="both"/>
        <w:rPr>
          <w:b/>
          <w:bCs/>
        </w:rPr>
      </w:pPr>
      <w:r w:rsidRPr="007B127F">
        <w:rPr>
          <w:b/>
          <w:bCs/>
        </w:rPr>
        <w:t>1. Reunião Extraordinária do CRH-RS em dezembro de 2020</w:t>
      </w:r>
    </w:p>
    <w:p w14:paraId="0AD419D7" w14:textId="77777777" w:rsidR="007B127F" w:rsidRPr="007B127F" w:rsidRDefault="007B127F" w:rsidP="007B127F">
      <w:pPr>
        <w:jc w:val="both"/>
      </w:pPr>
      <w:r w:rsidRPr="007B127F">
        <w:tab/>
        <w:t xml:space="preserve">Pauta: Modernização da Lei 10.350/94. Exposição do processo de representação e participação dos Grupos Governo e Comitês. Entrega e explicação sobre o Questionário </w:t>
      </w:r>
      <w:proofErr w:type="spellStart"/>
      <w:r w:rsidRPr="007B127F">
        <w:rPr>
          <w:i/>
          <w:iCs/>
        </w:rPr>
        <w:t>On</w:t>
      </w:r>
      <w:proofErr w:type="spellEnd"/>
      <w:r w:rsidRPr="007B127F">
        <w:rPr>
          <w:i/>
          <w:iCs/>
        </w:rPr>
        <w:t xml:space="preserve"> </w:t>
      </w:r>
      <w:proofErr w:type="spellStart"/>
      <w:r w:rsidRPr="007B127F">
        <w:rPr>
          <w:i/>
          <w:iCs/>
        </w:rPr>
        <w:t>Line</w:t>
      </w:r>
      <w:proofErr w:type="spellEnd"/>
      <w:r w:rsidRPr="007B127F">
        <w:t>.</w:t>
      </w:r>
    </w:p>
    <w:p w14:paraId="05EFFDF6" w14:textId="77777777" w:rsidR="007B127F" w:rsidRPr="007B127F" w:rsidRDefault="007B127F" w:rsidP="007B127F">
      <w:pPr>
        <w:jc w:val="both"/>
      </w:pPr>
      <w:r w:rsidRPr="007B127F">
        <w:tab/>
        <w:t>Na data da Oficina, as entidades que representam o Governo Estadual entregam 01 Questionário e as que representam o Governo Federal entregam 01 Questionário. A mobilização é livre.</w:t>
      </w:r>
    </w:p>
    <w:p w14:paraId="62EE8A53" w14:textId="77777777" w:rsidR="007B127F" w:rsidRPr="007B127F" w:rsidRDefault="007B127F" w:rsidP="007B127F">
      <w:pPr>
        <w:jc w:val="both"/>
      </w:pPr>
      <w:r w:rsidRPr="007B127F">
        <w:tab/>
        <w:t>Também na data da Oficina, os Comitês que integram o CRH entregam os Questionários dos Comitês gaúchos.</w:t>
      </w:r>
    </w:p>
    <w:p w14:paraId="743D88B0" w14:textId="77777777" w:rsidR="007B127F" w:rsidRPr="007B127F" w:rsidRDefault="007B127F" w:rsidP="007B127F">
      <w:pPr>
        <w:jc w:val="both"/>
      </w:pPr>
    </w:p>
    <w:p w14:paraId="77B1AF69" w14:textId="77777777" w:rsidR="007B127F" w:rsidRPr="007B127F" w:rsidRDefault="007B127F" w:rsidP="007B127F">
      <w:pPr>
        <w:jc w:val="both"/>
        <w:rPr>
          <w:b/>
          <w:bCs/>
        </w:rPr>
      </w:pPr>
      <w:r w:rsidRPr="007B127F">
        <w:rPr>
          <w:b/>
          <w:bCs/>
        </w:rPr>
        <w:t>2. Oficina com as Organizações dos Municípios</w:t>
      </w:r>
    </w:p>
    <w:p w14:paraId="76A34980" w14:textId="77777777" w:rsidR="007B127F" w:rsidRPr="007B127F" w:rsidRDefault="007B127F" w:rsidP="007B127F">
      <w:pPr>
        <w:jc w:val="both"/>
      </w:pPr>
      <w:r w:rsidRPr="007B127F">
        <w:tab/>
        <w:t>Serão convidadas, a FAMURS e as Câmaras de Vereadores que integram os plenários dos Comitês gaúchos. Os Comitês indicarão três Câmaras de Vereadores por Região Hidrográfica.</w:t>
      </w:r>
    </w:p>
    <w:p w14:paraId="7147A52A" w14:textId="77777777" w:rsidR="007B127F" w:rsidRPr="007B127F" w:rsidRDefault="007B127F" w:rsidP="007B127F">
      <w:pPr>
        <w:jc w:val="both"/>
      </w:pPr>
      <w:r w:rsidRPr="007B127F">
        <w:tab/>
        <w:t>A FAMURS entregará 01(um) Questionário e as Câmaras de Vereadores, 01(um) por Região Hidrográfica.</w:t>
      </w:r>
    </w:p>
    <w:p w14:paraId="64982B3A" w14:textId="77777777" w:rsidR="007B127F" w:rsidRPr="007B127F" w:rsidRDefault="007B127F" w:rsidP="007B127F">
      <w:pPr>
        <w:jc w:val="both"/>
      </w:pPr>
    </w:p>
    <w:p w14:paraId="3CBF2A5C" w14:textId="77777777" w:rsidR="007B127F" w:rsidRPr="007B127F" w:rsidRDefault="007B127F" w:rsidP="007B127F">
      <w:pPr>
        <w:jc w:val="both"/>
        <w:rPr>
          <w:b/>
          <w:bCs/>
        </w:rPr>
      </w:pPr>
      <w:r w:rsidRPr="007B127F">
        <w:rPr>
          <w:b/>
          <w:bCs/>
        </w:rPr>
        <w:t>3. Oficina com as Organizações da Agricultura</w:t>
      </w:r>
    </w:p>
    <w:p w14:paraId="0CC8E08B" w14:textId="77777777" w:rsidR="007B127F" w:rsidRPr="007B127F" w:rsidRDefault="007B127F" w:rsidP="007B127F">
      <w:pPr>
        <w:jc w:val="both"/>
      </w:pPr>
      <w:r w:rsidRPr="007B127F">
        <w:tab/>
        <w:t>Serão convidadas a FETAG, a FEDERARROZ, a FARSUL e outras.</w:t>
      </w:r>
    </w:p>
    <w:p w14:paraId="115AF52A" w14:textId="77777777" w:rsidR="007B127F" w:rsidRPr="007B127F" w:rsidRDefault="007B127F" w:rsidP="007B127F">
      <w:pPr>
        <w:jc w:val="both"/>
      </w:pPr>
      <w:r w:rsidRPr="007B127F">
        <w:tab/>
        <w:t>Cada Federação entregará 01(um) Questionário.</w:t>
      </w:r>
    </w:p>
    <w:p w14:paraId="697BF65E" w14:textId="77777777" w:rsidR="007B127F" w:rsidRPr="007B127F" w:rsidRDefault="007B127F" w:rsidP="007B127F">
      <w:pPr>
        <w:jc w:val="both"/>
      </w:pPr>
    </w:p>
    <w:p w14:paraId="53A75122" w14:textId="77777777" w:rsidR="007B127F" w:rsidRPr="007B127F" w:rsidRDefault="007B127F" w:rsidP="007B127F">
      <w:pPr>
        <w:jc w:val="both"/>
      </w:pPr>
      <w:r w:rsidRPr="007B127F">
        <w:rPr>
          <w:b/>
          <w:bCs/>
        </w:rPr>
        <w:t>4. Oficina com Organizações da Indústria e da Geração de Energia</w:t>
      </w:r>
    </w:p>
    <w:p w14:paraId="54E06F26" w14:textId="77777777" w:rsidR="007B127F" w:rsidRPr="007B127F" w:rsidRDefault="007B127F" w:rsidP="007B127F">
      <w:pPr>
        <w:ind w:firstLine="708"/>
        <w:jc w:val="both"/>
      </w:pPr>
      <w:r w:rsidRPr="007B127F">
        <w:t>Serão convidadas as Organizações do setor.</w:t>
      </w:r>
    </w:p>
    <w:p w14:paraId="4114F0ED" w14:textId="77777777" w:rsidR="007B127F" w:rsidRPr="007B127F" w:rsidRDefault="007B127F" w:rsidP="007B127F">
      <w:pPr>
        <w:ind w:firstLine="708"/>
        <w:jc w:val="both"/>
      </w:pPr>
      <w:r w:rsidRPr="007B127F">
        <w:t>Cada Organização entregará 01(um) Questionário.</w:t>
      </w:r>
    </w:p>
    <w:p w14:paraId="5B6B920E" w14:textId="77777777" w:rsidR="007B127F" w:rsidRPr="007B127F" w:rsidRDefault="007B127F" w:rsidP="007B127F">
      <w:pPr>
        <w:ind w:firstLine="708"/>
        <w:jc w:val="both"/>
      </w:pPr>
    </w:p>
    <w:p w14:paraId="48CF1ABF" w14:textId="77777777" w:rsidR="007B127F" w:rsidRPr="007B127F" w:rsidRDefault="007B127F" w:rsidP="007B127F">
      <w:pPr>
        <w:jc w:val="both"/>
        <w:rPr>
          <w:b/>
          <w:bCs/>
        </w:rPr>
      </w:pPr>
      <w:r w:rsidRPr="007B127F">
        <w:rPr>
          <w:b/>
          <w:bCs/>
        </w:rPr>
        <w:t>5. Oficina com os Prestadores de Serviços de Abastecimento. Humano</w:t>
      </w:r>
    </w:p>
    <w:p w14:paraId="4C41EE4C" w14:textId="77777777" w:rsidR="007B127F" w:rsidRPr="007B127F" w:rsidRDefault="007B127F" w:rsidP="007B127F">
      <w:pPr>
        <w:jc w:val="both"/>
      </w:pPr>
      <w:r w:rsidRPr="007B127F">
        <w:rPr>
          <w:b/>
          <w:bCs/>
        </w:rPr>
        <w:tab/>
      </w:r>
      <w:r w:rsidRPr="007B127F">
        <w:t>Serão convidas, a ASSEMAE e a CORSAN. A ASSEMAE poderá participar com até 3 (três) representantes. A CORSAN poderá participar com até 03 (três) representantes.</w:t>
      </w:r>
    </w:p>
    <w:p w14:paraId="185FBC71" w14:textId="77777777" w:rsidR="007B127F" w:rsidRPr="007B127F" w:rsidRDefault="007B127F" w:rsidP="007B127F">
      <w:pPr>
        <w:jc w:val="both"/>
      </w:pPr>
      <w:r w:rsidRPr="007B127F">
        <w:tab/>
        <w:t>A CORSAN e a ASSEMAE entregarão, cada uma, 01(um) Questionário.</w:t>
      </w:r>
    </w:p>
    <w:p w14:paraId="2BCD04EE" w14:textId="7FBF5EEA" w:rsidR="007B127F" w:rsidRDefault="007B127F" w:rsidP="007B127F">
      <w:pPr>
        <w:jc w:val="both"/>
      </w:pPr>
    </w:p>
    <w:p w14:paraId="6BA936D5" w14:textId="55A98516" w:rsidR="00113759" w:rsidRDefault="00113759" w:rsidP="007B127F">
      <w:pPr>
        <w:jc w:val="both"/>
      </w:pPr>
    </w:p>
    <w:p w14:paraId="636372A2" w14:textId="7931A24A" w:rsidR="00113759" w:rsidRDefault="00113759" w:rsidP="007B127F">
      <w:pPr>
        <w:jc w:val="both"/>
      </w:pPr>
    </w:p>
    <w:p w14:paraId="7342FC0B" w14:textId="77777777" w:rsidR="007B127F" w:rsidRPr="007B127F" w:rsidRDefault="007B127F" w:rsidP="007B127F">
      <w:pPr>
        <w:jc w:val="both"/>
        <w:rPr>
          <w:b/>
          <w:bCs/>
        </w:rPr>
      </w:pPr>
      <w:r w:rsidRPr="007B127F">
        <w:rPr>
          <w:b/>
          <w:bCs/>
        </w:rPr>
        <w:t>6. Oficina com as Organizações Técnico-científicas</w:t>
      </w:r>
    </w:p>
    <w:p w14:paraId="6BCC2D2D" w14:textId="77777777" w:rsidR="007B127F" w:rsidRPr="007B127F" w:rsidRDefault="007B127F" w:rsidP="007B127F">
      <w:pPr>
        <w:jc w:val="both"/>
      </w:pPr>
      <w:r w:rsidRPr="007B127F">
        <w:tab/>
        <w:t>Os Comitês indicarão três Organizações Técnico-científicas por cada Região Hidrográfica, que integrem seus plenários.  Cada Organização Técnico-científica participará com um representante.</w:t>
      </w:r>
    </w:p>
    <w:p w14:paraId="12EE08DE" w14:textId="77777777" w:rsidR="007B127F" w:rsidRPr="007B127F" w:rsidRDefault="007B127F" w:rsidP="007B127F">
      <w:pPr>
        <w:jc w:val="both"/>
      </w:pPr>
      <w:r w:rsidRPr="007B127F">
        <w:tab/>
        <w:t>As Organizações Técnico-científicas entregarão 01 (um) Questionário por Região Hidrográfica).</w:t>
      </w:r>
    </w:p>
    <w:p w14:paraId="50D6E751" w14:textId="77777777" w:rsidR="007B127F" w:rsidRPr="007B127F" w:rsidRDefault="007B127F" w:rsidP="007B127F">
      <w:pPr>
        <w:jc w:val="both"/>
      </w:pPr>
    </w:p>
    <w:p w14:paraId="5F74F0E1" w14:textId="77777777" w:rsidR="007B127F" w:rsidRPr="007B127F" w:rsidRDefault="007B127F" w:rsidP="007B127F">
      <w:pPr>
        <w:jc w:val="both"/>
        <w:rPr>
          <w:b/>
          <w:bCs/>
        </w:rPr>
      </w:pPr>
      <w:r w:rsidRPr="007B127F">
        <w:rPr>
          <w:b/>
          <w:bCs/>
        </w:rPr>
        <w:t>7. Oficina com o MP/CAOMA</w:t>
      </w:r>
    </w:p>
    <w:p w14:paraId="2449DB81" w14:textId="77777777" w:rsidR="007B127F" w:rsidRPr="007B127F" w:rsidRDefault="007B127F" w:rsidP="007B127F">
      <w:pPr>
        <w:jc w:val="both"/>
      </w:pPr>
      <w:r w:rsidRPr="007B127F">
        <w:tab/>
        <w:t>O MP/CAOMA entregará 01 (um) Questionário por Região Hidrográfica.</w:t>
      </w:r>
    </w:p>
    <w:p w14:paraId="4076AFB1" w14:textId="77777777" w:rsidR="007B127F" w:rsidRPr="007B127F" w:rsidRDefault="007B127F" w:rsidP="007B127F">
      <w:pPr>
        <w:jc w:val="both"/>
      </w:pPr>
    </w:p>
    <w:p w14:paraId="3F50FA33" w14:textId="77777777" w:rsidR="007B127F" w:rsidRPr="007B127F" w:rsidRDefault="007B127F" w:rsidP="007B127F">
      <w:pPr>
        <w:jc w:val="both"/>
        <w:rPr>
          <w:b/>
          <w:bCs/>
        </w:rPr>
      </w:pPr>
      <w:r w:rsidRPr="007B127F">
        <w:rPr>
          <w:b/>
          <w:bCs/>
        </w:rPr>
        <w:t>8. Oficina com as Universidades</w:t>
      </w:r>
    </w:p>
    <w:p w14:paraId="209B48A7" w14:textId="77777777" w:rsidR="007B127F" w:rsidRPr="007B127F" w:rsidRDefault="007B127F" w:rsidP="007B127F">
      <w:pPr>
        <w:jc w:val="both"/>
      </w:pPr>
      <w:r w:rsidRPr="007B127F">
        <w:tab/>
        <w:t>Os Comitês indicarão três Universidades por cada Região Hidrográfica, que integrem seus plenários. Cada Universidade participará com um representante.</w:t>
      </w:r>
    </w:p>
    <w:p w14:paraId="003EE525" w14:textId="77777777" w:rsidR="007B127F" w:rsidRPr="007B127F" w:rsidRDefault="007B127F" w:rsidP="007B127F">
      <w:pPr>
        <w:jc w:val="both"/>
      </w:pPr>
      <w:r w:rsidRPr="007B127F">
        <w:tab/>
        <w:t>As Universidades entregarão 01(um) Questionário por Região Hidrográfica.</w:t>
      </w:r>
    </w:p>
    <w:p w14:paraId="07E971F2" w14:textId="77777777" w:rsidR="007B127F" w:rsidRPr="007B127F" w:rsidRDefault="007B127F" w:rsidP="007B127F">
      <w:pPr>
        <w:jc w:val="both"/>
      </w:pPr>
    </w:p>
    <w:p w14:paraId="21C4F88E" w14:textId="77777777" w:rsidR="007B127F" w:rsidRPr="007B127F" w:rsidRDefault="007B127F" w:rsidP="007B127F">
      <w:pPr>
        <w:jc w:val="both"/>
        <w:rPr>
          <w:b/>
          <w:bCs/>
        </w:rPr>
      </w:pPr>
      <w:r w:rsidRPr="007B127F">
        <w:rPr>
          <w:b/>
          <w:bCs/>
        </w:rPr>
        <w:t>9. Oficina com as ONGs</w:t>
      </w:r>
    </w:p>
    <w:p w14:paraId="1C8024D0" w14:textId="77777777" w:rsidR="007B127F" w:rsidRPr="007B127F" w:rsidRDefault="007B127F" w:rsidP="007B127F">
      <w:pPr>
        <w:jc w:val="both"/>
      </w:pPr>
      <w:r w:rsidRPr="007B127F">
        <w:tab/>
        <w:t>Participarão da Oficina as ONGs que forem indicadas pelos Comitês gaúchos (três Organizações por Região Hidrográfica, que integrem os respectivos plenários). Cada ONG participará com um representante.</w:t>
      </w:r>
    </w:p>
    <w:p w14:paraId="7B1103DB" w14:textId="77777777" w:rsidR="007B127F" w:rsidRPr="007B127F" w:rsidRDefault="007B127F" w:rsidP="007B127F">
      <w:pPr>
        <w:jc w:val="both"/>
      </w:pPr>
      <w:r w:rsidRPr="007B127F">
        <w:tab/>
        <w:t>As ONGs entregarão 01(um) Questionário por Região Hidrográfica.</w:t>
      </w:r>
    </w:p>
    <w:p w14:paraId="56CDEB45" w14:textId="77777777" w:rsidR="007B127F" w:rsidRPr="007B127F" w:rsidRDefault="007B127F" w:rsidP="007B127F">
      <w:pPr>
        <w:jc w:val="both"/>
      </w:pPr>
    </w:p>
    <w:p w14:paraId="34C79E4B" w14:textId="77777777" w:rsidR="007B127F" w:rsidRPr="007B127F" w:rsidRDefault="007B127F" w:rsidP="007B127F">
      <w:pPr>
        <w:jc w:val="both"/>
        <w:rPr>
          <w:b/>
          <w:bCs/>
        </w:rPr>
      </w:pPr>
      <w:r w:rsidRPr="007B127F">
        <w:rPr>
          <w:b/>
          <w:bCs/>
        </w:rPr>
        <w:t>10. Oficina com os Comitês</w:t>
      </w:r>
    </w:p>
    <w:p w14:paraId="6910701F" w14:textId="77777777" w:rsidR="007B127F" w:rsidRPr="007B127F" w:rsidRDefault="007B127F" w:rsidP="007B127F">
      <w:pPr>
        <w:jc w:val="both"/>
      </w:pPr>
      <w:r w:rsidRPr="007B127F">
        <w:tab/>
        <w:t xml:space="preserve">São sete os Comitês que integram o Conselho Estadual representando os 25 Comitês existentes no Estado e que participarão da Oficina. </w:t>
      </w:r>
    </w:p>
    <w:p w14:paraId="36AA3D0A" w14:textId="77777777" w:rsidR="007B127F" w:rsidRPr="007B127F" w:rsidRDefault="007B127F" w:rsidP="007B127F">
      <w:pPr>
        <w:jc w:val="both"/>
      </w:pPr>
      <w:r w:rsidRPr="007B127F">
        <w:tab/>
        <w:t>Os questionários dos 25 Comitês poderão ser entregues a qualquer tempo até o dia da Oficina.</w:t>
      </w:r>
    </w:p>
    <w:p w14:paraId="3BF47210" w14:textId="77777777" w:rsidR="007B127F" w:rsidRPr="007B127F" w:rsidRDefault="007B127F" w:rsidP="007B127F">
      <w:pPr>
        <w:jc w:val="both"/>
      </w:pPr>
    </w:p>
    <w:p w14:paraId="2BC8A9F4" w14:textId="77777777" w:rsidR="007B127F" w:rsidRPr="007B127F" w:rsidRDefault="007B127F" w:rsidP="007B127F">
      <w:pPr>
        <w:jc w:val="both"/>
        <w:rPr>
          <w:b/>
          <w:bCs/>
        </w:rPr>
      </w:pPr>
      <w:r w:rsidRPr="007B127F">
        <w:rPr>
          <w:b/>
          <w:bCs/>
        </w:rPr>
        <w:t>11. Oficina com a Assembleia</w:t>
      </w:r>
    </w:p>
    <w:p w14:paraId="4C2CBCD2" w14:textId="77777777" w:rsidR="007B127F" w:rsidRPr="007B127F" w:rsidRDefault="007B127F" w:rsidP="007B127F">
      <w:pPr>
        <w:jc w:val="both"/>
      </w:pPr>
      <w:r w:rsidRPr="007B127F">
        <w:tab/>
        <w:t>Participará da Comissão de Saúde e Meio Ambiente da Assembleia gaúcha.</w:t>
      </w:r>
    </w:p>
    <w:p w14:paraId="6B54B38E" w14:textId="77777777" w:rsidR="007B127F" w:rsidRPr="007B127F" w:rsidRDefault="007B127F" w:rsidP="007B127F">
      <w:pPr>
        <w:jc w:val="both"/>
      </w:pPr>
      <w:r w:rsidRPr="007B127F">
        <w:tab/>
        <w:t>A Comissão entregará 01 (um) Questionário.</w:t>
      </w:r>
    </w:p>
    <w:p w14:paraId="2B7944AD" w14:textId="77777777" w:rsidR="007B127F" w:rsidRPr="007B127F" w:rsidRDefault="007B127F" w:rsidP="007B127F">
      <w:pPr>
        <w:jc w:val="both"/>
      </w:pPr>
    </w:p>
    <w:p w14:paraId="664C5E83" w14:textId="77777777" w:rsidR="007B127F" w:rsidRPr="007B127F" w:rsidRDefault="007B127F" w:rsidP="007B127F">
      <w:pPr>
        <w:jc w:val="both"/>
        <w:rPr>
          <w:b/>
          <w:bCs/>
        </w:rPr>
      </w:pPr>
      <w:r w:rsidRPr="007B127F">
        <w:rPr>
          <w:b/>
          <w:bCs/>
        </w:rPr>
        <w:t>12. Oficina interna da SEMA.</w:t>
      </w:r>
    </w:p>
    <w:p w14:paraId="1AD2B43D" w14:textId="77777777" w:rsidR="007B127F" w:rsidRPr="007B127F" w:rsidRDefault="007B127F" w:rsidP="007B127F">
      <w:pPr>
        <w:jc w:val="both"/>
      </w:pPr>
    </w:p>
    <w:p w14:paraId="20594A2D" w14:textId="77777777" w:rsidR="007B127F" w:rsidRPr="007B127F" w:rsidRDefault="007B127F" w:rsidP="007B127F">
      <w:pPr>
        <w:jc w:val="both"/>
      </w:pPr>
    </w:p>
    <w:p w14:paraId="1C7F54CD" w14:textId="30D26A7B" w:rsidR="00113759" w:rsidRDefault="00113759">
      <w:pPr>
        <w:spacing w:after="160" w:line="259" w:lineRule="auto"/>
      </w:pPr>
      <w:r>
        <w:br w:type="page"/>
      </w:r>
    </w:p>
    <w:p w14:paraId="134BC8CE" w14:textId="77777777" w:rsidR="007B127F" w:rsidRPr="007B127F" w:rsidRDefault="007B127F" w:rsidP="007B127F">
      <w:pPr>
        <w:jc w:val="both"/>
      </w:pPr>
    </w:p>
    <w:p w14:paraId="5BE4F5A4" w14:textId="77777777" w:rsidR="007B127F" w:rsidRPr="007B127F" w:rsidRDefault="007B127F" w:rsidP="007B127F">
      <w:pPr>
        <w:jc w:val="center"/>
        <w:rPr>
          <w:b/>
          <w:bCs/>
        </w:rPr>
      </w:pPr>
      <w:r w:rsidRPr="007B127F">
        <w:rPr>
          <w:b/>
          <w:bCs/>
        </w:rPr>
        <w:t>Observações</w:t>
      </w:r>
    </w:p>
    <w:p w14:paraId="79B0851E" w14:textId="77777777" w:rsidR="007B127F" w:rsidRPr="007B127F" w:rsidRDefault="007B127F" w:rsidP="007B127F">
      <w:pPr>
        <w:jc w:val="both"/>
        <w:rPr>
          <w:b/>
          <w:bCs/>
        </w:rPr>
      </w:pPr>
    </w:p>
    <w:p w14:paraId="03EFC95C" w14:textId="77777777" w:rsidR="007B127F" w:rsidRPr="007B127F" w:rsidRDefault="007B127F" w:rsidP="007B127F">
      <w:pPr>
        <w:jc w:val="both"/>
      </w:pPr>
      <w:r w:rsidRPr="007B127F">
        <w:t>- As Oficinas serão gravadas e para cada uma será elaborada uma Ajuda Memória.</w:t>
      </w:r>
    </w:p>
    <w:p w14:paraId="210C92D5" w14:textId="77777777" w:rsidR="007B127F" w:rsidRPr="007B127F" w:rsidRDefault="007B127F" w:rsidP="007B127F">
      <w:pPr>
        <w:jc w:val="both"/>
      </w:pPr>
    </w:p>
    <w:p w14:paraId="7A69C8FF" w14:textId="77777777" w:rsidR="007B127F" w:rsidRPr="007B127F" w:rsidRDefault="007B127F" w:rsidP="007B127F">
      <w:pPr>
        <w:jc w:val="both"/>
      </w:pPr>
      <w:r w:rsidRPr="007B127F">
        <w:t>- A entrega dos Questionários por cada GRUPO, no dia das respectivas Oficinas</w:t>
      </w:r>
      <w:r w:rsidRPr="007B127F">
        <w:rPr>
          <w:b/>
          <w:bCs/>
        </w:rPr>
        <w:t>, é livre</w:t>
      </w:r>
      <w:r w:rsidRPr="007B127F">
        <w:t>.</w:t>
      </w:r>
    </w:p>
    <w:p w14:paraId="4750D3C0" w14:textId="77777777" w:rsidR="007B127F" w:rsidRPr="007B127F" w:rsidRDefault="007B127F" w:rsidP="007B127F">
      <w:pPr>
        <w:jc w:val="both"/>
      </w:pPr>
    </w:p>
    <w:p w14:paraId="02D842FF" w14:textId="77777777" w:rsidR="007B127F" w:rsidRPr="007B127F" w:rsidRDefault="007B127F" w:rsidP="007B127F">
      <w:pPr>
        <w:jc w:val="both"/>
      </w:pPr>
      <w:r w:rsidRPr="007B127F">
        <w:t>- Nenhuma Instituição Pública ou Privada poderá ter dupla participação, salvo nos casos explicitados neste conjunto de Diretrizes.</w:t>
      </w:r>
    </w:p>
    <w:p w14:paraId="3D8EE6BC" w14:textId="77777777" w:rsidR="007B127F" w:rsidRPr="007B127F" w:rsidRDefault="007B127F" w:rsidP="007B127F">
      <w:pPr>
        <w:jc w:val="both"/>
      </w:pPr>
    </w:p>
    <w:p w14:paraId="2E3699AF" w14:textId="77777777" w:rsidR="007B127F" w:rsidRPr="007B127F" w:rsidRDefault="007B127F" w:rsidP="007B127F">
      <w:pPr>
        <w:jc w:val="both"/>
      </w:pPr>
      <w:r w:rsidRPr="007B127F">
        <w:t>- Todas as Oficinas serão coordenadas pela Equipe do DRHS/SEMA.</w:t>
      </w:r>
    </w:p>
    <w:p w14:paraId="7FB2A1D1" w14:textId="77777777" w:rsidR="007B127F" w:rsidRPr="007B127F" w:rsidRDefault="007B127F" w:rsidP="007B127F"/>
    <w:p w14:paraId="02F6C790" w14:textId="77777777" w:rsidR="007B127F" w:rsidRPr="007B127F" w:rsidRDefault="007B127F" w:rsidP="007B127F"/>
    <w:p w14:paraId="1538AA61" w14:textId="77777777" w:rsidR="005A765E" w:rsidRDefault="005A765E"/>
    <w:sectPr w:rsidR="005A765E" w:rsidSect="00B41816">
      <w:headerReference w:type="default" r:id="rId7"/>
      <w:pgSz w:w="11905" w:h="16837"/>
      <w:pgMar w:top="539" w:right="1699" w:bottom="1236"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19A59" w14:textId="77777777" w:rsidR="00E458F4" w:rsidRDefault="00E458F4">
      <w:r>
        <w:separator/>
      </w:r>
    </w:p>
  </w:endnote>
  <w:endnote w:type="continuationSeparator" w:id="0">
    <w:p w14:paraId="69D6EB07" w14:textId="77777777" w:rsidR="00E458F4" w:rsidRDefault="00E45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FB42F" w14:textId="77777777" w:rsidR="00E458F4" w:rsidRDefault="00E458F4">
      <w:r>
        <w:separator/>
      </w:r>
    </w:p>
  </w:footnote>
  <w:footnote w:type="continuationSeparator" w:id="0">
    <w:p w14:paraId="7CC32084" w14:textId="77777777" w:rsidR="00E458F4" w:rsidRDefault="00E458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AE177" w14:textId="77777777" w:rsidR="00094BB3" w:rsidRDefault="00E458F4" w:rsidP="00860FB0">
    <w:pPr>
      <w:pStyle w:val="Cabealho"/>
      <w:jc w:val="center"/>
    </w:pPr>
  </w:p>
  <w:p w14:paraId="1AC862C8" w14:textId="77777777" w:rsidR="00094BB3" w:rsidRDefault="0033799E" w:rsidP="00860FB0">
    <w:pPr>
      <w:pStyle w:val="Cabealho"/>
      <w:jc w:val="center"/>
    </w:pPr>
    <w:r>
      <w:rPr>
        <w:noProof/>
      </w:rPr>
      <w:drawing>
        <wp:inline distT="0" distB="0" distL="0" distR="0" wp14:anchorId="42648ECF" wp14:editId="26C775A4">
          <wp:extent cx="1905000" cy="18288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1828800"/>
                  </a:xfrm>
                  <a:prstGeom prst="rect">
                    <a:avLst/>
                  </a:prstGeom>
                  <a:noFill/>
                  <a:ln>
                    <a:noFill/>
                  </a:ln>
                </pic:spPr>
              </pic:pic>
            </a:graphicData>
          </a:graphic>
        </wp:inline>
      </w:drawing>
    </w:r>
  </w:p>
  <w:p w14:paraId="14825040" w14:textId="77777777" w:rsidR="00094BB3" w:rsidRPr="00DD26D4" w:rsidRDefault="00E458F4" w:rsidP="00DD26D4">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E6F"/>
    <w:rsid w:val="000227A7"/>
    <w:rsid w:val="001130AD"/>
    <w:rsid w:val="00113759"/>
    <w:rsid w:val="001277DC"/>
    <w:rsid w:val="00164A10"/>
    <w:rsid w:val="002133E8"/>
    <w:rsid w:val="002832C1"/>
    <w:rsid w:val="002A7626"/>
    <w:rsid w:val="002B4E2A"/>
    <w:rsid w:val="0033799E"/>
    <w:rsid w:val="003608D5"/>
    <w:rsid w:val="00435E89"/>
    <w:rsid w:val="00466F86"/>
    <w:rsid w:val="005A765E"/>
    <w:rsid w:val="0061670D"/>
    <w:rsid w:val="0070297A"/>
    <w:rsid w:val="0072066C"/>
    <w:rsid w:val="00761C9E"/>
    <w:rsid w:val="007B127F"/>
    <w:rsid w:val="00827856"/>
    <w:rsid w:val="00A113D9"/>
    <w:rsid w:val="00AA7D08"/>
    <w:rsid w:val="00C6563A"/>
    <w:rsid w:val="00C92E90"/>
    <w:rsid w:val="00D12AE6"/>
    <w:rsid w:val="00D80D0A"/>
    <w:rsid w:val="00E234B4"/>
    <w:rsid w:val="00E458F4"/>
    <w:rsid w:val="00EC2E6F"/>
    <w:rsid w:val="00F33581"/>
    <w:rsid w:val="00F34C73"/>
    <w:rsid w:val="00F81617"/>
    <w:rsid w:val="00FF3A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D8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E6F"/>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C2E6F"/>
    <w:pPr>
      <w:widowControl w:val="0"/>
      <w:tabs>
        <w:tab w:val="center" w:pos="5273"/>
        <w:tab w:val="right" w:pos="10546"/>
      </w:tabs>
      <w:suppressAutoHyphens/>
    </w:pPr>
    <w:rPr>
      <w:rFonts w:ascii="Times" w:hAnsi="Times"/>
      <w:color w:val="000000"/>
      <w:szCs w:val="20"/>
    </w:rPr>
  </w:style>
  <w:style w:type="character" w:customStyle="1" w:styleId="CabealhoChar">
    <w:name w:val="Cabeçalho Char"/>
    <w:basedOn w:val="Fontepargpadro"/>
    <w:link w:val="Cabealho"/>
    <w:rsid w:val="00EC2E6F"/>
    <w:rPr>
      <w:rFonts w:ascii="Times" w:eastAsia="Times New Roman" w:hAnsi="Times" w:cs="Times New Roman"/>
      <w:color w:val="000000"/>
      <w:sz w:val="24"/>
      <w:szCs w:val="20"/>
      <w:lang w:eastAsia="pt-BR"/>
    </w:rPr>
  </w:style>
  <w:style w:type="paragraph" w:styleId="CitaoIntensa">
    <w:name w:val="Intense Quote"/>
    <w:basedOn w:val="Normal"/>
    <w:next w:val="Normal"/>
    <w:link w:val="CitaoIntensaChar"/>
    <w:uiPriority w:val="30"/>
    <w:qFormat/>
    <w:rsid w:val="00EC2E6F"/>
    <w:pPr>
      <w:pBdr>
        <w:bottom w:val="single" w:sz="4" w:space="4" w:color="4F81BD"/>
      </w:pBdr>
      <w:spacing w:before="200" w:after="280"/>
      <w:ind w:left="936" w:right="936"/>
    </w:pPr>
    <w:rPr>
      <w:b/>
      <w:bCs/>
      <w:i/>
      <w:iCs/>
      <w:color w:val="4F81BD"/>
      <w:lang w:val="x-none" w:eastAsia="x-none"/>
    </w:rPr>
  </w:style>
  <w:style w:type="character" w:customStyle="1" w:styleId="CitaoIntensaChar">
    <w:name w:val="Citação Intensa Char"/>
    <w:basedOn w:val="Fontepargpadro"/>
    <w:link w:val="CitaoIntensa"/>
    <w:uiPriority w:val="30"/>
    <w:rsid w:val="00EC2E6F"/>
    <w:rPr>
      <w:rFonts w:ascii="Times New Roman" w:eastAsia="Times New Roman" w:hAnsi="Times New Roman" w:cs="Times New Roman"/>
      <w:b/>
      <w:bCs/>
      <w:i/>
      <w:iCs/>
      <w:color w:val="4F81BD"/>
      <w:sz w:val="24"/>
      <w:szCs w:val="24"/>
      <w:lang w:val="x-none" w:eastAsia="x-none"/>
    </w:rPr>
  </w:style>
  <w:style w:type="character" w:customStyle="1" w:styleId="apple-style-span">
    <w:name w:val="apple-style-span"/>
    <w:rsid w:val="00EC2E6F"/>
  </w:style>
  <w:style w:type="table" w:styleId="Tabelacomgrade">
    <w:name w:val="Table Grid"/>
    <w:basedOn w:val="Tabelanormal"/>
    <w:uiPriority w:val="39"/>
    <w:rsid w:val="005A76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5A765E"/>
    <w:pPr>
      <w:spacing w:after="0" w:line="240" w:lineRule="auto"/>
    </w:pPr>
  </w:style>
  <w:style w:type="paragraph" w:styleId="Textodebalo">
    <w:name w:val="Balloon Text"/>
    <w:basedOn w:val="Normal"/>
    <w:link w:val="TextodebaloChar"/>
    <w:uiPriority w:val="99"/>
    <w:semiHidden/>
    <w:unhideWhenUsed/>
    <w:rsid w:val="00F33581"/>
    <w:rPr>
      <w:rFonts w:ascii="Tahoma" w:hAnsi="Tahoma" w:cs="Tahoma"/>
      <w:sz w:val="16"/>
      <w:szCs w:val="16"/>
    </w:rPr>
  </w:style>
  <w:style w:type="character" w:customStyle="1" w:styleId="TextodebaloChar">
    <w:name w:val="Texto de balão Char"/>
    <w:basedOn w:val="Fontepargpadro"/>
    <w:link w:val="Textodebalo"/>
    <w:uiPriority w:val="99"/>
    <w:semiHidden/>
    <w:rsid w:val="00F33581"/>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E6F"/>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C2E6F"/>
    <w:pPr>
      <w:widowControl w:val="0"/>
      <w:tabs>
        <w:tab w:val="center" w:pos="5273"/>
        <w:tab w:val="right" w:pos="10546"/>
      </w:tabs>
      <w:suppressAutoHyphens/>
    </w:pPr>
    <w:rPr>
      <w:rFonts w:ascii="Times" w:hAnsi="Times"/>
      <w:color w:val="000000"/>
      <w:szCs w:val="20"/>
    </w:rPr>
  </w:style>
  <w:style w:type="character" w:customStyle="1" w:styleId="CabealhoChar">
    <w:name w:val="Cabeçalho Char"/>
    <w:basedOn w:val="Fontepargpadro"/>
    <w:link w:val="Cabealho"/>
    <w:rsid w:val="00EC2E6F"/>
    <w:rPr>
      <w:rFonts w:ascii="Times" w:eastAsia="Times New Roman" w:hAnsi="Times" w:cs="Times New Roman"/>
      <w:color w:val="000000"/>
      <w:sz w:val="24"/>
      <w:szCs w:val="20"/>
      <w:lang w:eastAsia="pt-BR"/>
    </w:rPr>
  </w:style>
  <w:style w:type="paragraph" w:styleId="CitaoIntensa">
    <w:name w:val="Intense Quote"/>
    <w:basedOn w:val="Normal"/>
    <w:next w:val="Normal"/>
    <w:link w:val="CitaoIntensaChar"/>
    <w:uiPriority w:val="30"/>
    <w:qFormat/>
    <w:rsid w:val="00EC2E6F"/>
    <w:pPr>
      <w:pBdr>
        <w:bottom w:val="single" w:sz="4" w:space="4" w:color="4F81BD"/>
      </w:pBdr>
      <w:spacing w:before="200" w:after="280"/>
      <w:ind w:left="936" w:right="936"/>
    </w:pPr>
    <w:rPr>
      <w:b/>
      <w:bCs/>
      <w:i/>
      <w:iCs/>
      <w:color w:val="4F81BD"/>
      <w:lang w:val="x-none" w:eastAsia="x-none"/>
    </w:rPr>
  </w:style>
  <w:style w:type="character" w:customStyle="1" w:styleId="CitaoIntensaChar">
    <w:name w:val="Citação Intensa Char"/>
    <w:basedOn w:val="Fontepargpadro"/>
    <w:link w:val="CitaoIntensa"/>
    <w:uiPriority w:val="30"/>
    <w:rsid w:val="00EC2E6F"/>
    <w:rPr>
      <w:rFonts w:ascii="Times New Roman" w:eastAsia="Times New Roman" w:hAnsi="Times New Roman" w:cs="Times New Roman"/>
      <w:b/>
      <w:bCs/>
      <w:i/>
      <w:iCs/>
      <w:color w:val="4F81BD"/>
      <w:sz w:val="24"/>
      <w:szCs w:val="24"/>
      <w:lang w:val="x-none" w:eastAsia="x-none"/>
    </w:rPr>
  </w:style>
  <w:style w:type="character" w:customStyle="1" w:styleId="apple-style-span">
    <w:name w:val="apple-style-span"/>
    <w:rsid w:val="00EC2E6F"/>
  </w:style>
  <w:style w:type="table" w:styleId="Tabelacomgrade">
    <w:name w:val="Table Grid"/>
    <w:basedOn w:val="Tabelanormal"/>
    <w:uiPriority w:val="39"/>
    <w:rsid w:val="005A76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5A765E"/>
    <w:pPr>
      <w:spacing w:after="0" w:line="240" w:lineRule="auto"/>
    </w:pPr>
  </w:style>
  <w:style w:type="paragraph" w:styleId="Textodebalo">
    <w:name w:val="Balloon Text"/>
    <w:basedOn w:val="Normal"/>
    <w:link w:val="TextodebaloChar"/>
    <w:uiPriority w:val="99"/>
    <w:semiHidden/>
    <w:unhideWhenUsed/>
    <w:rsid w:val="00F33581"/>
    <w:rPr>
      <w:rFonts w:ascii="Tahoma" w:hAnsi="Tahoma" w:cs="Tahoma"/>
      <w:sz w:val="16"/>
      <w:szCs w:val="16"/>
    </w:rPr>
  </w:style>
  <w:style w:type="character" w:customStyle="1" w:styleId="TextodebaloChar">
    <w:name w:val="Texto de balão Char"/>
    <w:basedOn w:val="Fontepargpadro"/>
    <w:link w:val="Textodebalo"/>
    <w:uiPriority w:val="99"/>
    <w:semiHidden/>
    <w:rsid w:val="00F33581"/>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10</Pages>
  <Words>1921</Words>
  <Characters>10375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Negaum santos</dc:creator>
  <cp:lastModifiedBy>Usuário do Windows</cp:lastModifiedBy>
  <cp:revision>3</cp:revision>
  <cp:lastPrinted>2020-12-16T19:07:00Z</cp:lastPrinted>
  <dcterms:created xsi:type="dcterms:W3CDTF">2020-12-22T17:39:00Z</dcterms:created>
  <dcterms:modified xsi:type="dcterms:W3CDTF">2021-01-07T18:20:00Z</dcterms:modified>
</cp:coreProperties>
</file>